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3FDE9" w14:textId="77777777" w:rsidR="003E0E72" w:rsidRPr="004D0B95" w:rsidRDefault="003E0E72" w:rsidP="003E0E72">
      <w:pPr>
        <w:jc w:val="center"/>
        <w:rPr>
          <w:b/>
          <w:lang w:val="uk-UA"/>
        </w:rPr>
      </w:pPr>
      <w:r w:rsidRPr="004D0B95">
        <w:rPr>
          <w:b/>
          <w:lang w:val="uk-UA"/>
        </w:rPr>
        <w:t>Львівський національний університет імені Івана Франка</w:t>
      </w:r>
    </w:p>
    <w:p w14:paraId="3E50B37A" w14:textId="77777777" w:rsidR="003E0E72" w:rsidRPr="004D0B95" w:rsidRDefault="003E0E72" w:rsidP="003E0E72">
      <w:pPr>
        <w:jc w:val="center"/>
        <w:rPr>
          <w:b/>
          <w:lang w:val="uk-UA"/>
        </w:rPr>
      </w:pPr>
      <w:r w:rsidRPr="004D0B95">
        <w:rPr>
          <w:b/>
          <w:lang w:val="uk-UA"/>
        </w:rPr>
        <w:t>Юридичний факультет</w:t>
      </w:r>
    </w:p>
    <w:p w14:paraId="39023560" w14:textId="77777777" w:rsidR="003E0E72" w:rsidRPr="004D0B95" w:rsidRDefault="003E0E72" w:rsidP="003E0E72">
      <w:pPr>
        <w:jc w:val="center"/>
        <w:rPr>
          <w:b/>
          <w:lang w:val="uk-UA"/>
        </w:rPr>
      </w:pPr>
      <w:r w:rsidRPr="004D0B95">
        <w:rPr>
          <w:b/>
          <w:lang w:val="uk-UA"/>
        </w:rPr>
        <w:t>Кафедра соціального права</w:t>
      </w:r>
    </w:p>
    <w:p w14:paraId="4391EFA9" w14:textId="77777777" w:rsidR="003E0E72" w:rsidRDefault="003E0E72" w:rsidP="00757335">
      <w:pPr>
        <w:jc w:val="center"/>
        <w:rPr>
          <w:b/>
          <w:color w:val="auto"/>
          <w:lang w:val="uk-UA"/>
        </w:rPr>
      </w:pPr>
    </w:p>
    <w:p w14:paraId="2BF6A38F" w14:textId="22561B95" w:rsidR="00757335" w:rsidRDefault="00757335" w:rsidP="003E0E72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 xml:space="preserve">Силабус курсу </w:t>
      </w:r>
      <w:r w:rsidR="003E0E72">
        <w:rPr>
          <w:b/>
          <w:color w:val="auto"/>
          <w:lang w:val="uk-UA"/>
        </w:rPr>
        <w:t>«</w:t>
      </w:r>
      <w:r w:rsidR="00C72957">
        <w:rPr>
          <w:b/>
          <w:color w:val="auto"/>
          <w:lang w:val="uk-UA"/>
        </w:rPr>
        <w:t>М</w:t>
      </w:r>
      <w:r w:rsidR="003E0E72">
        <w:rPr>
          <w:b/>
          <w:color w:val="auto"/>
          <w:lang w:val="uk-UA"/>
        </w:rPr>
        <w:t>істобудування, сталий розвиток</w:t>
      </w:r>
      <w:r w:rsidR="00C72957" w:rsidRPr="00C72957">
        <w:rPr>
          <w:b/>
          <w:color w:val="auto"/>
          <w:lang w:val="uk-UA"/>
        </w:rPr>
        <w:t xml:space="preserve"> </w:t>
      </w:r>
      <w:r w:rsidR="00C72957">
        <w:rPr>
          <w:b/>
          <w:color w:val="auto"/>
          <w:lang w:val="uk-UA"/>
        </w:rPr>
        <w:t>і довкілля</w:t>
      </w:r>
      <w:r w:rsidR="003E0E72">
        <w:rPr>
          <w:b/>
          <w:color w:val="auto"/>
          <w:lang w:val="uk-UA"/>
        </w:rPr>
        <w:t>»</w:t>
      </w:r>
    </w:p>
    <w:p w14:paraId="5C6CE61D" w14:textId="4A2E4654" w:rsidR="00C72957" w:rsidRDefault="00C72957" w:rsidP="003E0E7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</w:t>
      </w:r>
      <w:r w:rsidR="008E1996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>-202</w:t>
      </w:r>
      <w:r w:rsidR="008E1996">
        <w:rPr>
          <w:b/>
          <w:color w:val="auto"/>
          <w:lang w:val="uk-UA"/>
        </w:rPr>
        <w:t>3</w:t>
      </w:r>
      <w:r>
        <w:rPr>
          <w:b/>
          <w:color w:val="auto"/>
          <w:lang w:val="uk-UA"/>
        </w:rPr>
        <w:t xml:space="preserve"> навчального року</w:t>
      </w:r>
    </w:p>
    <w:p w14:paraId="2FED76B3" w14:textId="77777777" w:rsidR="00757335" w:rsidRPr="001C2A85" w:rsidRDefault="00757335" w:rsidP="00757335">
      <w:pPr>
        <w:jc w:val="center"/>
        <w:rPr>
          <w:b/>
          <w:color w:val="auto"/>
          <w:lang w:val="uk-UA"/>
        </w:rPr>
      </w:pPr>
    </w:p>
    <w:p w14:paraId="43EF6B06" w14:textId="77777777" w:rsidR="00757335" w:rsidRPr="001C2A85" w:rsidRDefault="00757335" w:rsidP="00757335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757335" w:rsidRPr="001C2A85" w14:paraId="31A13BC3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8F48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7415" w14:textId="1F07A762" w:rsidR="006A02C0" w:rsidRPr="00CE635A" w:rsidRDefault="00C72957" w:rsidP="006A02C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lang w:val="uk-UA"/>
              </w:rPr>
            </w:pPr>
            <w:r>
              <w:rPr>
                <w:rFonts w:ascii="Cambria" w:hAnsi="Cambria"/>
                <w:b/>
                <w:bCs/>
                <w:lang w:val="uk-UA"/>
              </w:rPr>
              <w:t>М</w:t>
            </w:r>
            <w:r w:rsidR="006A02C0">
              <w:rPr>
                <w:rFonts w:ascii="Cambria" w:hAnsi="Cambria"/>
                <w:b/>
                <w:bCs/>
                <w:lang w:val="uk-UA"/>
              </w:rPr>
              <w:t>істобудування, сталий розвиток</w:t>
            </w:r>
            <w:r>
              <w:rPr>
                <w:rFonts w:ascii="Cambria" w:hAnsi="Cambria"/>
                <w:b/>
                <w:bCs/>
                <w:lang w:val="uk-UA"/>
              </w:rPr>
              <w:t xml:space="preserve"> і довкілля</w:t>
            </w:r>
          </w:p>
          <w:p w14:paraId="652AAFA5" w14:textId="5C4B06B2" w:rsidR="00757335" w:rsidRPr="001C2A85" w:rsidRDefault="00757335" w:rsidP="00FA728B">
            <w:pPr>
              <w:jc w:val="both"/>
              <w:rPr>
                <w:color w:val="auto"/>
                <w:lang w:val="uk-UA"/>
              </w:rPr>
            </w:pPr>
          </w:p>
        </w:tc>
      </w:tr>
      <w:tr w:rsidR="00757335" w:rsidRPr="00F32362" w14:paraId="26EEF648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741F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794B" w14:textId="6D49E0CF" w:rsidR="00757335" w:rsidRPr="001C2A85" w:rsidRDefault="00C72957" w:rsidP="00FA728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="00AA6115">
              <w:rPr>
                <w:color w:val="auto"/>
                <w:lang w:val="uk-UA"/>
              </w:rPr>
              <w:t>. Львів, вул. Січових стрільців 14</w:t>
            </w:r>
          </w:p>
        </w:tc>
      </w:tr>
      <w:tr w:rsidR="00757335" w:rsidRPr="00F32362" w14:paraId="18AC7D07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FF4C" w14:textId="77777777" w:rsidR="00757335" w:rsidRPr="00920309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E9F6" w14:textId="0847C9F0" w:rsidR="00757335" w:rsidRPr="001C2A85" w:rsidRDefault="00AA6115" w:rsidP="00FA728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Юридичний факультет, кафедра соціального права</w:t>
            </w:r>
          </w:p>
        </w:tc>
      </w:tr>
      <w:tr w:rsidR="00757335" w:rsidRPr="001C2A85" w14:paraId="081B1357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365C" w14:textId="77777777" w:rsidR="00757335" w:rsidRPr="00920309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1F77" w14:textId="5A16A660" w:rsidR="00757335" w:rsidRPr="001C2A85" w:rsidRDefault="00AA6115" w:rsidP="00FA728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081 Правознавство</w:t>
            </w:r>
          </w:p>
        </w:tc>
      </w:tr>
      <w:tr w:rsidR="00757335" w:rsidRPr="00F32362" w14:paraId="0F4989E0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B4DE" w14:textId="77777777" w:rsidR="00757335" w:rsidRPr="00B812F4" w:rsidRDefault="00757335" w:rsidP="00FA728B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6E55" w14:textId="61ED13AA" w:rsidR="00757335" w:rsidRPr="001C2A85" w:rsidRDefault="00AA6115" w:rsidP="00FA728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Шпарик Назар Ярославович, к.ю.н., доцент</w:t>
            </w:r>
            <w:r w:rsidR="00C72957">
              <w:rPr>
                <w:color w:val="auto"/>
                <w:lang w:val="uk-UA"/>
              </w:rPr>
              <w:t xml:space="preserve"> кафедри соціального права</w:t>
            </w:r>
          </w:p>
        </w:tc>
      </w:tr>
      <w:tr w:rsidR="00757335" w:rsidRPr="00F32362" w14:paraId="36E0D37D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056F" w14:textId="77777777" w:rsidR="00757335" w:rsidRPr="00B812F4" w:rsidRDefault="00757335" w:rsidP="00FA728B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297F" w14:textId="7A5448A2" w:rsidR="00757335" w:rsidRPr="00AC6C52" w:rsidRDefault="000B1577" w:rsidP="00FA728B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AC6C52" w:rsidRPr="004B7A0F">
                <w:rPr>
                  <w:rStyle w:val="a6"/>
                </w:rPr>
                <w:t>nazar</w:t>
              </w:r>
              <w:r w:rsidR="00AC6C52" w:rsidRPr="00F32362">
                <w:rPr>
                  <w:rStyle w:val="a6"/>
                  <w:lang w:val="uk-UA"/>
                </w:rPr>
                <w:t>.</w:t>
              </w:r>
              <w:r w:rsidR="00AC6C52" w:rsidRPr="004B7A0F">
                <w:rPr>
                  <w:rStyle w:val="a6"/>
                </w:rPr>
                <w:t>shparyk</w:t>
              </w:r>
              <w:r w:rsidR="00AC6C52" w:rsidRPr="00F32362">
                <w:rPr>
                  <w:rStyle w:val="a6"/>
                  <w:lang w:val="uk-UA"/>
                </w:rPr>
                <w:t>@</w:t>
              </w:r>
              <w:r w:rsidR="00AC6C52" w:rsidRPr="004B7A0F">
                <w:rPr>
                  <w:rStyle w:val="a6"/>
                </w:rPr>
                <w:t>lnu</w:t>
              </w:r>
              <w:r w:rsidR="00AC6C52" w:rsidRPr="00F32362">
                <w:rPr>
                  <w:rStyle w:val="a6"/>
                  <w:lang w:val="uk-UA"/>
                </w:rPr>
                <w:t>.</w:t>
              </w:r>
              <w:r w:rsidR="00AC6C52" w:rsidRPr="004B7A0F">
                <w:rPr>
                  <w:rStyle w:val="a6"/>
                </w:rPr>
                <w:t>edu</w:t>
              </w:r>
              <w:r w:rsidR="00AC6C52" w:rsidRPr="00F32362">
                <w:rPr>
                  <w:rStyle w:val="a6"/>
                  <w:lang w:val="uk-UA"/>
                </w:rPr>
                <w:t>.</w:t>
              </w:r>
              <w:r w:rsidR="00AC6C52" w:rsidRPr="004B7A0F">
                <w:rPr>
                  <w:rStyle w:val="a6"/>
                </w:rPr>
                <w:t>ua</w:t>
              </w:r>
            </w:hyperlink>
            <w:r w:rsidR="00AC6C52">
              <w:rPr>
                <w:color w:val="auto"/>
                <w:lang w:val="uk-UA"/>
              </w:rPr>
              <w:t xml:space="preserve"> </w:t>
            </w:r>
          </w:p>
        </w:tc>
      </w:tr>
      <w:tr w:rsidR="00757335" w:rsidRPr="00F32362" w14:paraId="0BDCF088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40E4" w14:textId="77777777" w:rsidR="00757335" w:rsidRPr="00B812F4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67D4" w14:textId="12225B9C" w:rsidR="00757335" w:rsidRPr="00B812F4" w:rsidRDefault="00757335" w:rsidP="00FA728B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r w:rsidR="003E0E72">
              <w:rPr>
                <w:color w:val="auto"/>
                <w:lang w:val="uk-UA"/>
              </w:rPr>
              <w:t>Z</w:t>
            </w:r>
            <w:r w:rsidR="003E0E72">
              <w:rPr>
                <w:color w:val="auto"/>
              </w:rPr>
              <w:t>oom</w:t>
            </w:r>
            <w:r w:rsidRPr="00B812F4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757335" w:rsidRPr="00F32362" w14:paraId="49F0A058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53F2" w14:textId="77777777" w:rsidR="00757335" w:rsidRPr="00920309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29C7" w14:textId="52A16B37" w:rsidR="00757335" w:rsidRPr="001C2A85" w:rsidRDefault="000B1577" w:rsidP="00FA728B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="003E0E72" w:rsidRPr="004D0B95">
                <w:rPr>
                  <w:rStyle w:val="a6"/>
                </w:rPr>
                <w:t>http</w:t>
              </w:r>
              <w:r w:rsidR="003E0E72" w:rsidRPr="004D0B95">
                <w:rPr>
                  <w:rStyle w:val="a6"/>
                  <w:lang w:val="uk-UA"/>
                </w:rPr>
                <w:t>://</w:t>
              </w:r>
              <w:r w:rsidR="003E0E72" w:rsidRPr="004D0B95">
                <w:rPr>
                  <w:rStyle w:val="a6"/>
                </w:rPr>
                <w:t>law</w:t>
              </w:r>
              <w:r w:rsidR="003E0E72" w:rsidRPr="004D0B95">
                <w:rPr>
                  <w:rStyle w:val="a6"/>
                  <w:lang w:val="uk-UA"/>
                </w:rPr>
                <w:t>.</w:t>
              </w:r>
              <w:r w:rsidR="003E0E72" w:rsidRPr="004D0B95">
                <w:rPr>
                  <w:rStyle w:val="a6"/>
                </w:rPr>
                <w:t>lnu</w:t>
              </w:r>
              <w:r w:rsidR="003E0E72" w:rsidRPr="004D0B95">
                <w:rPr>
                  <w:rStyle w:val="a6"/>
                  <w:lang w:val="uk-UA"/>
                </w:rPr>
                <w:t>.</w:t>
              </w:r>
              <w:r w:rsidR="003E0E72" w:rsidRPr="004D0B95">
                <w:rPr>
                  <w:rStyle w:val="a6"/>
                </w:rPr>
                <w:t>edu</w:t>
              </w:r>
              <w:r w:rsidR="003E0E72" w:rsidRPr="004D0B95">
                <w:rPr>
                  <w:rStyle w:val="a6"/>
                  <w:lang w:val="uk-UA"/>
                </w:rPr>
                <w:t>.</w:t>
              </w:r>
              <w:r w:rsidR="003E0E72" w:rsidRPr="004D0B95">
                <w:rPr>
                  <w:rStyle w:val="a6"/>
                </w:rPr>
                <w:t>ua</w:t>
              </w:r>
              <w:r w:rsidR="003E0E72" w:rsidRPr="004D0B95">
                <w:rPr>
                  <w:rStyle w:val="a6"/>
                  <w:lang w:val="uk-UA"/>
                </w:rPr>
                <w:t>/</w:t>
              </w:r>
              <w:r w:rsidR="003E0E72" w:rsidRPr="004D0B95">
                <w:rPr>
                  <w:rStyle w:val="a6"/>
                </w:rPr>
                <w:t>department</w:t>
              </w:r>
              <w:r w:rsidR="003E0E72" w:rsidRPr="004D0B95">
                <w:rPr>
                  <w:rStyle w:val="a6"/>
                  <w:lang w:val="uk-UA"/>
                </w:rPr>
                <w:t>/</w:t>
              </w:r>
              <w:r w:rsidR="003E0E72" w:rsidRPr="004D0B95">
                <w:rPr>
                  <w:rStyle w:val="a6"/>
                </w:rPr>
                <w:t>kafedra</w:t>
              </w:r>
              <w:r w:rsidR="003E0E72" w:rsidRPr="004D0B95">
                <w:rPr>
                  <w:rStyle w:val="a6"/>
                  <w:lang w:val="uk-UA"/>
                </w:rPr>
                <w:t>-</w:t>
              </w:r>
              <w:r w:rsidR="003E0E72" w:rsidRPr="004D0B95">
                <w:rPr>
                  <w:rStyle w:val="a6"/>
                </w:rPr>
                <w:t>soc</w:t>
              </w:r>
              <w:r w:rsidR="003E0E72" w:rsidRPr="004D0B95">
                <w:rPr>
                  <w:rStyle w:val="a6"/>
                  <w:lang w:val="uk-UA"/>
                </w:rPr>
                <w:t>-</w:t>
              </w:r>
              <w:r w:rsidR="003E0E72" w:rsidRPr="004D0B95">
                <w:rPr>
                  <w:rStyle w:val="a6"/>
                </w:rPr>
                <w:t>prava</w:t>
              </w:r>
            </w:hyperlink>
          </w:p>
        </w:tc>
      </w:tr>
      <w:tr w:rsidR="00757335" w:rsidRPr="00F32362" w14:paraId="0DCC3A6E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1CC6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925F" w14:textId="3E6830CD" w:rsidR="00757335" w:rsidRPr="001C2A85" w:rsidRDefault="003E0E72" w:rsidP="00FA728B">
            <w:pPr>
              <w:jc w:val="both"/>
              <w:rPr>
                <w:color w:val="auto"/>
                <w:lang w:val="uk-UA"/>
              </w:rPr>
            </w:pPr>
            <w:r w:rsidRPr="004D0B95">
              <w:rPr>
                <w:lang w:val="uk-UA"/>
              </w:rPr>
              <w:t xml:space="preserve">Курс розроблено таким чином, щоб надати учасникам необхідні практичні та теоретичні знання, необхідні для завершального етапу засвоєння курсу </w:t>
            </w:r>
            <w:r w:rsidR="00C72957">
              <w:rPr>
                <w:lang w:val="uk-UA"/>
              </w:rPr>
              <w:t>«Е</w:t>
            </w:r>
            <w:r w:rsidRPr="004D0B95">
              <w:rPr>
                <w:lang w:val="uk-UA"/>
              </w:rPr>
              <w:t>кологічн</w:t>
            </w:r>
            <w:r w:rsidR="00C72957">
              <w:rPr>
                <w:lang w:val="uk-UA"/>
              </w:rPr>
              <w:t>е</w:t>
            </w:r>
            <w:r w:rsidRPr="004D0B95">
              <w:rPr>
                <w:lang w:val="uk-UA"/>
              </w:rPr>
              <w:t xml:space="preserve"> прав</w:t>
            </w:r>
            <w:r w:rsidR="00C72957">
              <w:rPr>
                <w:lang w:val="uk-UA"/>
              </w:rPr>
              <w:t>о»</w:t>
            </w:r>
            <w:r w:rsidRPr="004D0B95">
              <w:rPr>
                <w:lang w:val="uk-UA"/>
              </w:rPr>
              <w:t>.</w:t>
            </w:r>
            <w:r w:rsidRPr="00F32362">
              <w:rPr>
                <w:lang w:val="ru-RU"/>
              </w:rPr>
              <w:t xml:space="preserve"> </w:t>
            </w:r>
            <w:r>
              <w:rPr>
                <w:lang w:val="uk-UA"/>
              </w:rPr>
              <w:t>Студенти отримають</w:t>
            </w:r>
            <w:r w:rsidR="00757335" w:rsidRPr="001C2A85">
              <w:rPr>
                <w:color w:val="auto"/>
                <w:lang w:val="uk-UA"/>
              </w:rPr>
              <w:t xml:space="preserve"> необхідні знання, обов’язкові для того, щоб </w:t>
            </w:r>
            <w:r w:rsidR="00486D8F">
              <w:rPr>
                <w:color w:val="auto"/>
                <w:lang w:val="uk-UA"/>
              </w:rPr>
              <w:t>вміти захистити свої екологічні права</w:t>
            </w:r>
            <w:r w:rsidR="006A02C0">
              <w:rPr>
                <w:color w:val="auto"/>
                <w:lang w:val="uk-UA"/>
              </w:rPr>
              <w:t>, знайти необхідну інформацію, розумітися у містобудівній документації та процедура</w:t>
            </w:r>
            <w:r w:rsidR="007E7D3A">
              <w:rPr>
                <w:color w:val="auto"/>
                <w:lang w:val="uk-UA"/>
              </w:rPr>
              <w:t>х</w:t>
            </w:r>
            <w:r w:rsidR="006A02C0">
              <w:rPr>
                <w:color w:val="auto"/>
                <w:lang w:val="uk-UA"/>
              </w:rPr>
              <w:t xml:space="preserve"> містобудування</w:t>
            </w:r>
            <w:r w:rsidR="00757335" w:rsidRPr="001C2A85">
              <w:rPr>
                <w:color w:val="auto"/>
                <w:lang w:val="uk-UA"/>
              </w:rPr>
              <w:t>.</w:t>
            </w:r>
            <w:r w:rsidR="00C6102A" w:rsidRPr="001C2A85">
              <w:rPr>
                <w:color w:val="auto"/>
                <w:lang w:val="uk-UA"/>
              </w:rPr>
              <w:t xml:space="preserve"> </w:t>
            </w:r>
          </w:p>
        </w:tc>
      </w:tr>
      <w:tr w:rsidR="00757335" w:rsidRPr="001C2A85" w14:paraId="2FE69275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415C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33FE" w14:textId="02C0CC41" w:rsidR="00757335" w:rsidRPr="007053D7" w:rsidRDefault="00757335" w:rsidP="00F3236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C72957" w:rsidRPr="00C72957">
              <w:rPr>
                <w:color w:val="auto"/>
                <w:lang w:val="uk-UA"/>
              </w:rPr>
              <w:t>Містобудування, сталий розвиток і довкілля</w:t>
            </w:r>
            <w:r w:rsidRPr="001C2A85">
              <w:rPr>
                <w:color w:val="auto"/>
                <w:lang w:val="uk-UA"/>
              </w:rPr>
              <w:t xml:space="preserve">» є завершальною вибірковою дисципліною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="003E0E72" w:rsidRPr="004D0B95">
              <w:rPr>
                <w:lang w:val="uk-UA"/>
              </w:rPr>
              <w:t xml:space="preserve">081 «Право» для освітньої програми </w:t>
            </w:r>
            <w:r w:rsidR="00F32362">
              <w:rPr>
                <w:lang w:val="uk-UA"/>
              </w:rPr>
              <w:t xml:space="preserve">«БАКАЛАВР» </w:t>
            </w:r>
            <w:r w:rsidR="003E0E72" w:rsidRPr="004D0B95">
              <w:rPr>
                <w:lang w:val="uk-UA"/>
              </w:rPr>
              <w:t xml:space="preserve">, яка викладається в </w:t>
            </w:r>
            <w:r w:rsidR="00F32362" w:rsidRPr="00F32362">
              <w:rPr>
                <w:u w:val="single"/>
                <w:lang w:val="uk-UA"/>
              </w:rPr>
              <w:t>3</w:t>
            </w:r>
            <w:r w:rsidR="00F32362">
              <w:rPr>
                <w:lang w:val="uk-UA"/>
              </w:rPr>
              <w:t xml:space="preserve"> </w:t>
            </w:r>
            <w:r w:rsidR="003E0E72" w:rsidRPr="004D0B95">
              <w:rPr>
                <w:lang w:val="uk-UA"/>
              </w:rPr>
              <w:t>семестрі в обсязі 3 кредитів (за Європейською Кредитно-Трансферною Системою ECTS).</w:t>
            </w:r>
          </w:p>
        </w:tc>
      </w:tr>
      <w:tr w:rsidR="00757335" w:rsidRPr="00F32362" w14:paraId="093C4639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5DA8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3284" w14:textId="3D2BC62B" w:rsidR="003E0E72" w:rsidRPr="004D0B95" w:rsidRDefault="00757335" w:rsidP="003E0E72">
            <w:pPr>
              <w:jc w:val="both"/>
              <w:rPr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Метою вивчення вибіркової дисципліни </w:t>
            </w:r>
            <w:r w:rsidR="006A02C0" w:rsidRPr="003E0E72">
              <w:rPr>
                <w:color w:val="auto"/>
                <w:lang w:val="uk-UA"/>
              </w:rPr>
              <w:t>«</w:t>
            </w:r>
            <w:r w:rsidR="00C72957" w:rsidRPr="00C72957">
              <w:rPr>
                <w:color w:val="auto"/>
                <w:lang w:val="uk-UA"/>
              </w:rPr>
              <w:t>Містобудування, сталий розвиток і довкілля</w:t>
            </w:r>
            <w:r w:rsidR="006A02C0" w:rsidRPr="003E0E72">
              <w:rPr>
                <w:color w:val="auto"/>
                <w:lang w:val="uk-UA"/>
              </w:rPr>
              <w:t>»</w:t>
            </w:r>
            <w:r w:rsidR="003E0E72" w:rsidRPr="003E0E72">
              <w:rPr>
                <w:color w:val="auto"/>
                <w:lang w:val="uk-UA"/>
              </w:rPr>
              <w:t xml:space="preserve"> </w:t>
            </w:r>
            <w:r w:rsidR="003E0E72" w:rsidRPr="004D0B95">
              <w:rPr>
                <w:lang w:val="uk-UA"/>
              </w:rPr>
              <w:t>є набуття здобувачем</w:t>
            </w:r>
            <w:r w:rsidR="00C72957">
              <w:rPr>
                <w:lang w:val="uk-UA"/>
              </w:rPr>
              <w:t xml:space="preserve"> </w:t>
            </w:r>
            <w:r w:rsidR="003E0E72" w:rsidRPr="004D0B95">
              <w:rPr>
                <w:lang w:val="uk-UA"/>
              </w:rPr>
              <w:t>вищої освіти у процесі з’ясування проблем правозастосування у сфері екологічного права навиків щодо розв’язання комплексних проблем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практики.</w:t>
            </w:r>
          </w:p>
          <w:p w14:paraId="62AFB193" w14:textId="547FC919" w:rsidR="00757335" w:rsidRPr="00F377BD" w:rsidRDefault="003E0E72" w:rsidP="00FA72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Курс </w:t>
            </w:r>
            <w:r w:rsidRPr="003E0E72">
              <w:rPr>
                <w:color w:val="auto"/>
                <w:lang w:val="uk-UA"/>
              </w:rPr>
              <w:t>«</w:t>
            </w:r>
            <w:r w:rsidR="00063F8C">
              <w:rPr>
                <w:color w:val="auto"/>
                <w:lang w:val="uk-UA"/>
              </w:rPr>
              <w:t>Містобудування, сталий розвиток і довкілля</w:t>
            </w:r>
            <w:r w:rsidRPr="003E0E72">
              <w:rPr>
                <w:color w:val="auto"/>
                <w:lang w:val="uk-UA"/>
              </w:rPr>
              <w:t>»</w:t>
            </w:r>
            <w:r>
              <w:rPr>
                <w:color w:val="auto"/>
                <w:lang w:val="uk-UA"/>
              </w:rPr>
              <w:t xml:space="preserve"> </w:t>
            </w:r>
            <w:r w:rsidRPr="004D0B95">
              <w:rPr>
                <w:lang w:val="uk-UA"/>
              </w:rPr>
              <w:t xml:space="preserve">спрямований на поглиблене вивчення системи норм, які забезпечують </w:t>
            </w:r>
            <w:r>
              <w:rPr>
                <w:lang w:val="uk-UA"/>
              </w:rPr>
              <w:t xml:space="preserve">захист екологічних прав, </w:t>
            </w:r>
            <w:r w:rsidR="00F377BD">
              <w:rPr>
                <w:lang w:val="uk-UA"/>
              </w:rPr>
              <w:t>розуміння сфери містобудування, формування та використання земельних ділянок тощо</w:t>
            </w:r>
            <w:r w:rsidRPr="004D0B95">
              <w:rPr>
                <w:lang w:val="uk-UA"/>
              </w:rPr>
              <w:t xml:space="preserve">. </w:t>
            </w:r>
            <w:r w:rsidRPr="00F33694">
              <w:rPr>
                <w:lang w:val="uk-UA"/>
              </w:rPr>
              <w:t xml:space="preserve">Під час вивчення даного курсу студенти опанують сучасні підходи до </w:t>
            </w:r>
            <w:r w:rsidR="00F377BD">
              <w:rPr>
                <w:lang w:val="uk-UA"/>
              </w:rPr>
              <w:t>пошуку екологічної інформаці</w:t>
            </w:r>
            <w:r w:rsidR="00063F8C">
              <w:rPr>
                <w:lang w:val="uk-UA"/>
              </w:rPr>
              <w:t>ї</w:t>
            </w:r>
            <w:r w:rsidRPr="00F33694">
              <w:rPr>
                <w:lang w:val="uk-UA"/>
              </w:rPr>
              <w:t xml:space="preserve">, а </w:t>
            </w:r>
            <w:r w:rsidRPr="00F33694">
              <w:rPr>
                <w:lang w:val="uk-UA"/>
              </w:rPr>
              <w:lastRenderedPageBreak/>
              <w:t>також отримають навички правового супроводу справ про екологічні</w:t>
            </w:r>
            <w:r w:rsidR="00F377BD">
              <w:rPr>
                <w:lang w:val="uk-UA"/>
              </w:rPr>
              <w:t>, земельні</w:t>
            </w:r>
            <w:r w:rsidRPr="00F33694">
              <w:rPr>
                <w:lang w:val="uk-UA"/>
              </w:rPr>
              <w:t xml:space="preserve"> правопорушення</w:t>
            </w:r>
            <w:r w:rsidR="00F377BD">
              <w:rPr>
                <w:lang w:val="uk-UA"/>
              </w:rPr>
              <w:t xml:space="preserve"> та порушення у сфері містобудування</w:t>
            </w:r>
            <w:r w:rsidRPr="00F33694">
              <w:rPr>
                <w:lang w:val="uk-UA"/>
              </w:rPr>
              <w:t>.</w:t>
            </w:r>
          </w:p>
        </w:tc>
      </w:tr>
      <w:tr w:rsidR="00757335" w:rsidRPr="00F32362" w14:paraId="60DE3764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A8CF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6DDE" w14:textId="77777777" w:rsidR="00F377BD" w:rsidRPr="004D0B95" w:rsidRDefault="00757335" w:rsidP="00F377BD">
            <w:pPr>
              <w:shd w:val="clear" w:color="auto" w:fill="FFFFFF"/>
              <w:spacing w:line="276" w:lineRule="auto"/>
              <w:ind w:firstLine="408"/>
              <w:jc w:val="both"/>
              <w:textAlignment w:val="baseline"/>
              <w:rPr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> </w:t>
            </w:r>
            <w:r w:rsidR="00F377BD" w:rsidRPr="004D0B95">
              <w:rPr>
                <w:lang w:val="uk-UA" w:eastAsia="uk-UA"/>
              </w:rPr>
              <w:t xml:space="preserve">Основна література: </w:t>
            </w:r>
          </w:p>
          <w:p w14:paraId="4CECA7D4" w14:textId="77777777" w:rsidR="00F377BD" w:rsidRPr="00F32362" w:rsidRDefault="00F377BD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ru-RU" w:eastAsia="ru-RU"/>
              </w:rPr>
            </w:pPr>
            <w:r w:rsidRPr="00F32362">
              <w:rPr>
                <w:lang w:val="ru-RU" w:eastAsia="ru-RU"/>
              </w:rPr>
              <w:t>Природоресурсове право України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: навч. посібник / [за ред. І.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І.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Каракаша]. – К.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: Істина, 2005. – 234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с.</w:t>
            </w:r>
          </w:p>
          <w:p w14:paraId="2DEF431D" w14:textId="77777777" w:rsidR="00F377BD" w:rsidRPr="00F32362" w:rsidRDefault="00F377BD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ru-RU" w:eastAsia="ru-RU"/>
              </w:rPr>
            </w:pPr>
            <w:r w:rsidRPr="00F32362">
              <w:rPr>
                <w:lang w:val="ru-RU" w:eastAsia="ru-RU"/>
              </w:rPr>
              <w:t xml:space="preserve">  Екологічне право України. Академічний курс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: підручник / [за заг. ред. Ю.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С.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Шемшученка – [2-е вид.]. – К.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: Юрид. думка, 2008. – 720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с.</w:t>
            </w:r>
          </w:p>
          <w:p w14:paraId="4EEE73DF" w14:textId="77777777" w:rsidR="00F377BD" w:rsidRPr="00F32362" w:rsidRDefault="00F377BD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ru-RU" w:eastAsia="ru-RU"/>
              </w:rPr>
            </w:pPr>
            <w:r w:rsidRPr="00F32362">
              <w:rPr>
                <w:lang w:val="ru-RU" w:eastAsia="ru-RU"/>
              </w:rPr>
              <w:t>Ільків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Н.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В. Екологічне право України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: навч. посібник / Н.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В.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Ільків, Я.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З.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Гаєцька-Колотило. – К.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: Істина, 2008. – 296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с.</w:t>
            </w:r>
          </w:p>
          <w:p w14:paraId="43BB0048" w14:textId="77777777" w:rsidR="00F377BD" w:rsidRPr="00F32362" w:rsidRDefault="00F377BD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ru-RU" w:eastAsia="ru-RU"/>
              </w:rPr>
            </w:pPr>
            <w:r w:rsidRPr="00F32362">
              <w:rPr>
                <w:lang w:val="ru-RU" w:eastAsia="ru-RU"/>
              </w:rPr>
              <w:t>Право довкілля (екологічне право)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: навч. посібник для студ. ВНЗ / [Пилипенко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П.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Д., Федорович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В.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І., Ващишин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М.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Я. та ін.]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; за ред. П.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Д.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Пилипенка. – К.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: Ін Юре, 2010. – 400</w:t>
            </w:r>
            <w:r w:rsidRPr="004D0B95">
              <w:rPr>
                <w:lang w:eastAsia="ru-RU"/>
              </w:rPr>
              <w:t> </w:t>
            </w:r>
            <w:r w:rsidRPr="00F32362">
              <w:rPr>
                <w:lang w:val="ru-RU" w:eastAsia="ru-RU"/>
              </w:rPr>
              <w:t>с.</w:t>
            </w:r>
          </w:p>
          <w:p w14:paraId="792E6EE6" w14:textId="77777777" w:rsidR="00DB606C" w:rsidRDefault="00F377BD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uk-UA" w:eastAsia="ru-RU"/>
              </w:rPr>
            </w:pPr>
            <w:r w:rsidRPr="004D0B95">
              <w:rPr>
                <w:lang w:val="uk-UA" w:eastAsia="ru-RU"/>
              </w:rPr>
              <w:t>Е</w:t>
            </w:r>
            <w:r w:rsidRPr="00F32362">
              <w:rPr>
                <w:lang w:val="ru-RU" w:eastAsia="ru-RU"/>
              </w:rPr>
              <w:t>кологічне право</w:t>
            </w:r>
            <w:r w:rsidRPr="004D0B95">
              <w:rPr>
                <w:lang w:val="uk-UA" w:eastAsia="ru-RU"/>
              </w:rPr>
              <w:t xml:space="preserve"> України </w:t>
            </w:r>
            <w:r w:rsidRPr="00F32362">
              <w:rPr>
                <w:lang w:val="ru-RU" w:eastAsia="ru-RU"/>
              </w:rPr>
              <w:t xml:space="preserve">: </w:t>
            </w:r>
            <w:r w:rsidRPr="004D0B95">
              <w:rPr>
                <w:lang w:val="uk-UA" w:eastAsia="ru-RU"/>
              </w:rPr>
              <w:t>н</w:t>
            </w:r>
            <w:r w:rsidRPr="00F32362">
              <w:rPr>
                <w:lang w:val="ru-RU" w:eastAsia="ru-RU"/>
              </w:rPr>
              <w:t>авч</w:t>
            </w:r>
            <w:r w:rsidRPr="004D0B95">
              <w:rPr>
                <w:lang w:val="uk-UA" w:eastAsia="ru-RU"/>
              </w:rPr>
              <w:t>альний</w:t>
            </w:r>
            <w:r w:rsidRPr="00F32362">
              <w:rPr>
                <w:lang w:val="ru-RU" w:eastAsia="ru-RU"/>
              </w:rPr>
              <w:t xml:space="preserve"> посібник</w:t>
            </w:r>
            <w:r w:rsidRPr="004D0B95">
              <w:rPr>
                <w:lang w:val="uk-UA" w:eastAsia="ru-RU"/>
              </w:rPr>
              <w:t xml:space="preserve"> / за ред.. проф..І.І.Каракаша, д.ю.н. Т.Є.Харитонової, к.ю.н. .А.І. Черемнової; вид. 1-е. Одеса : Гельветика, 2018. 408 с.</w:t>
            </w:r>
            <w:r w:rsidR="00DB606C">
              <w:rPr>
                <w:lang w:val="uk-UA" w:eastAsia="ru-RU"/>
              </w:rPr>
              <w:t xml:space="preserve"> </w:t>
            </w:r>
          </w:p>
          <w:p w14:paraId="13513A72" w14:textId="77777777" w:rsidR="00DB606C" w:rsidRPr="00785364" w:rsidRDefault="00DB606C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Довідник чинних міжнародних договорів України у сфері охорони довкілля / кол. авт.: А. Андрусевич, Н. Андрусевич, З. Козак – Львів : Суспільство і довкілля, 2009. – 203 с. </w:t>
            </w:r>
          </w:p>
          <w:p w14:paraId="03CCA975" w14:textId="77777777" w:rsidR="00063F8C" w:rsidRDefault="00063F8C" w:rsidP="008E1996">
            <w:pPr>
              <w:ind w:right="282"/>
              <w:jc w:val="both"/>
              <w:rPr>
                <w:lang w:val="uk-UA" w:eastAsia="ru-RU"/>
              </w:rPr>
            </w:pPr>
          </w:p>
          <w:p w14:paraId="0D1F7CCF" w14:textId="40FEA354" w:rsidR="00063F8C" w:rsidRPr="004D0B95" w:rsidRDefault="00063F8C" w:rsidP="00063F8C">
            <w:pPr>
              <w:ind w:left="720" w:right="282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Додаткова література:</w:t>
            </w:r>
          </w:p>
          <w:p w14:paraId="7883513F" w14:textId="448887D6" w:rsidR="00DB606C" w:rsidRPr="00DB606C" w:rsidRDefault="00DB606C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364">
              <w:rPr>
                <w:rFonts w:ascii="Times New Roman" w:hAnsi="Times New Roman"/>
                <w:sz w:val="24"/>
                <w:szCs w:val="24"/>
                <w:lang w:val="uk-UA"/>
              </w:rPr>
              <w:t>Кравченко С.М. Актуальні проблеми міжнародного права навколишнього середовища : підручник / під заг. ред. С.М. Кравченко, А.О. Андрусевич, Дж. Бонайн. – Львів : Видавн. центр ЛНУ, 2002. – 336 с.</w:t>
            </w:r>
          </w:p>
          <w:p w14:paraId="44CFE426" w14:textId="2F3C2788" w:rsidR="00DB606C" w:rsidRPr="00DB606C" w:rsidRDefault="00DB606C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3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Медведєва М.О. Теоретичні та практичні аспекти реалізації міжнародно-правових норм у галузі охорони навколишнього середовища / М.О. Медведєва. – К. : «Фенікс», 2012. – 484 с.</w:t>
            </w:r>
            <w:r w:rsidRPr="00785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359065F" w14:textId="69E7B122" w:rsidR="00F377BD" w:rsidRPr="00DB606C" w:rsidRDefault="00F377BD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uk-UA" w:eastAsia="ru-RU"/>
              </w:rPr>
            </w:pPr>
            <w:r w:rsidRPr="00F32362">
              <w:rPr>
                <w:lang w:val="ru-RU"/>
              </w:rPr>
              <w:t xml:space="preserve">Микієвич М.М., Андрусевич Н.І., Будякова Т.О. Європейське право навколишнього середовища. </w:t>
            </w:r>
            <w:r w:rsidRPr="004D0B95">
              <w:t xml:space="preserve">Навчальний посібник. Львів, 2004. – 256 с. </w:t>
            </w:r>
          </w:p>
          <w:p w14:paraId="565D2690" w14:textId="7BAB7F2B" w:rsidR="00DB606C" w:rsidRPr="00F32362" w:rsidRDefault="00DB606C" w:rsidP="00DB606C">
            <w:pPr>
              <w:pStyle w:val="a5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23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Гердеґен М. Міжнародне право : пер. з німецької / Матіас Гердеґен. – К. : «К.І.С.», 2011. – 516 с.</w:t>
            </w:r>
          </w:p>
          <w:p w14:paraId="7D3A99B1" w14:textId="110C78CE" w:rsidR="00DB606C" w:rsidRPr="00DB606C" w:rsidRDefault="00DB606C" w:rsidP="00DB606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3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Beyerlin U. International Environmental Law / U. Beyerlin, T. Marauhn. – Oxford :  Hart Publishing, 2011. – 452 p. </w:t>
            </w:r>
          </w:p>
          <w:p w14:paraId="7DEFDE52" w14:textId="47793A38" w:rsidR="000D43B7" w:rsidRPr="000D43B7" w:rsidRDefault="000D43B7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uk-UA" w:eastAsia="ru-RU"/>
              </w:rPr>
            </w:pPr>
            <w:r w:rsidRPr="000D43B7">
              <w:rPr>
                <w:lang w:val="uk-UA" w:eastAsia="ru-RU"/>
              </w:rPr>
              <w:t>Шпарик Н.Я. Рішення Європейського суду з прав людини як джерела екологічного права України / Н.Я. Шпарик // Вісник Львів. ун-ту. Серія юридична. – Львів : Львів. нац. ун-т. імені Івана Франка, 2016. – Вип. 62. – С. 160–168.</w:t>
            </w:r>
          </w:p>
          <w:p w14:paraId="7630F71B" w14:textId="49F77147" w:rsidR="000D43B7" w:rsidRPr="000D43B7" w:rsidRDefault="000D43B7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uk-UA" w:eastAsia="ru-RU"/>
              </w:rPr>
            </w:pPr>
            <w:r w:rsidRPr="000D43B7">
              <w:rPr>
                <w:lang w:val="uk-UA" w:eastAsia="ru-RU"/>
              </w:rPr>
              <w:t>Nazar Shparyk. Legal regulation of environmental impact assessment in Ukraine: current state / N. Shparyk // Journal of Vasyl Stefanyk Precarpathian National University (http://jpnu.pu.if.ua ) – 2018. – Vol. 5, No. 2 (2018) – P. 152-162</w:t>
            </w:r>
          </w:p>
          <w:p w14:paraId="4F84C8CF" w14:textId="53A87B6A" w:rsidR="000D43B7" w:rsidRPr="000D43B7" w:rsidRDefault="000D43B7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uk-UA" w:eastAsia="ru-RU"/>
              </w:rPr>
            </w:pPr>
            <w:r w:rsidRPr="000D43B7">
              <w:rPr>
                <w:lang w:val="uk-UA" w:eastAsia="ru-RU"/>
              </w:rPr>
              <w:t>Шпарик Н. Я. Адаптація екологічного законодавства України до стандартів Європейського Союзу / Н.Я. Шпарик // Наук. вісник Ужгород. нац. ун-ту. Серія «Право». – 2015. – С. 212–217.</w:t>
            </w:r>
          </w:p>
          <w:p w14:paraId="2CDBD27A" w14:textId="66ED9E7E" w:rsidR="000D43B7" w:rsidRPr="000D43B7" w:rsidRDefault="000D43B7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uk-UA" w:eastAsia="ru-RU"/>
              </w:rPr>
            </w:pPr>
            <w:r w:rsidRPr="000D43B7">
              <w:rPr>
                <w:lang w:val="uk-UA" w:eastAsia="ru-RU"/>
              </w:rPr>
              <w:t xml:space="preserve">Шпарик Н.Я. Практичні аспекти доступу до екологічної інформації від суб’єктів господарювання / Н.Я. Шпарик // </w:t>
            </w:r>
            <w:r w:rsidRPr="000D43B7">
              <w:rPr>
                <w:lang w:val="uk-UA" w:eastAsia="ru-RU"/>
              </w:rPr>
              <w:lastRenderedPageBreak/>
              <w:t>Проблеми державотворення і захисту прав людини в Україні : матеріали ХXІІ звітної науково- практичної конференції (7–8 лютого 2018 р.) : у 2 ч. Ч. 2. – Львів : Юридичний факультет Львівського національного університету імені Івана Франка, 2018. – 267 с. – С. 43-46.</w:t>
            </w:r>
          </w:p>
          <w:p w14:paraId="0826656B" w14:textId="34ADB8A4" w:rsidR="000D43B7" w:rsidRPr="000D43B7" w:rsidRDefault="000D43B7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uk-UA" w:eastAsia="ru-RU"/>
              </w:rPr>
            </w:pPr>
            <w:r w:rsidRPr="000D43B7">
              <w:rPr>
                <w:lang w:val="uk-UA" w:eastAsia="ru-RU"/>
              </w:rPr>
              <w:t>Популярний коментар до Закону України «Про оцінку впливу на довкілля» / Є. Алексєєва [за заг. ред. О. Кравченко] — Видавництво «Компанія “Манускрипт”» — Львів, 2018. — 60 с.</w:t>
            </w:r>
          </w:p>
          <w:p w14:paraId="440D7E35" w14:textId="263DD3E6" w:rsidR="000D43B7" w:rsidRPr="000D43B7" w:rsidRDefault="000D43B7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uk-UA" w:eastAsia="ru-RU"/>
              </w:rPr>
            </w:pPr>
            <w:r w:rsidRPr="000D43B7">
              <w:rPr>
                <w:lang w:val="uk-UA" w:eastAsia="ru-RU"/>
              </w:rPr>
              <w:t>Доступ до правосуддя в галузі охорони довкілля: практичний посібник /Алексєєва Є. А., Левіна Г. М., Шуміло О. М., Шутяк С. В., Кравченко О. В.; Міжнародна благодійна організація «Екологія–Право–Людина». – Львів: Норма, 2015. – 144 с.</w:t>
            </w:r>
          </w:p>
          <w:p w14:paraId="54AF83E8" w14:textId="4004B332" w:rsidR="000D43B7" w:rsidRPr="000D43B7" w:rsidRDefault="000D43B7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uk-UA" w:eastAsia="ru-RU"/>
              </w:rPr>
            </w:pPr>
            <w:r w:rsidRPr="000D43B7">
              <w:rPr>
                <w:lang w:val="uk-UA" w:eastAsia="ru-RU"/>
              </w:rPr>
              <w:t>Застосування Європейської конвенції з прав людини для захисту екологічних прав та довкілля (посібник) / Є. Алексєєва, О. Мелень-Забрамна, Д. Скрильніков, — Видавництво «Компанія “Манускрипт”» — Львів, 2016. — 240 с.</w:t>
            </w:r>
          </w:p>
          <w:p w14:paraId="22BC6915" w14:textId="06FDE2C8" w:rsidR="00B328CF" w:rsidRPr="00F377BD" w:rsidRDefault="000D43B7" w:rsidP="00DB606C">
            <w:pPr>
              <w:numPr>
                <w:ilvl w:val="0"/>
                <w:numId w:val="2"/>
              </w:numPr>
              <w:ind w:right="282"/>
              <w:jc w:val="both"/>
              <w:rPr>
                <w:lang w:val="uk-UA" w:eastAsia="ru-RU"/>
              </w:rPr>
            </w:pPr>
            <w:r w:rsidRPr="000D43B7">
              <w:rPr>
                <w:lang w:val="uk-UA" w:eastAsia="ru-RU"/>
              </w:rPr>
              <w:t>Оцінка впливу на довкілля: можливості для громадськості (посібник) / Є. Алексєєва [за заг. ред. О. Кравченко] — Видавництво «Компанія “Манускрипт”» — Львів, 2017. — 36 с.</w:t>
            </w:r>
          </w:p>
          <w:p w14:paraId="24512727" w14:textId="3F38649A" w:rsidR="00F377BD" w:rsidRDefault="00F377BD" w:rsidP="00F377BD">
            <w:pPr>
              <w:ind w:left="720" w:right="282"/>
              <w:jc w:val="both"/>
              <w:rPr>
                <w:lang w:val="uk-UA" w:eastAsia="ru-RU"/>
              </w:rPr>
            </w:pPr>
          </w:p>
          <w:p w14:paraId="2CD41574" w14:textId="77777777" w:rsidR="00F377BD" w:rsidRPr="004D0B95" w:rsidRDefault="00F377BD" w:rsidP="00F377BD">
            <w:pPr>
              <w:shd w:val="clear" w:color="auto" w:fill="FFFFFF"/>
              <w:spacing w:line="276" w:lineRule="auto"/>
              <w:ind w:firstLine="408"/>
              <w:jc w:val="both"/>
              <w:textAlignment w:val="baseline"/>
              <w:rPr>
                <w:lang w:val="uk-UA" w:eastAsia="uk-UA"/>
              </w:rPr>
            </w:pPr>
            <w:r w:rsidRPr="004D0B95">
              <w:rPr>
                <w:lang w:val="uk-UA" w:eastAsia="uk-UA"/>
              </w:rPr>
              <w:t xml:space="preserve">Законодавство: </w:t>
            </w:r>
          </w:p>
          <w:p w14:paraId="5F47C766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Водний кодекс України від 6 червня 1995 року // Відомості Верховної Ради України. – 1995. - N 24. - Ст. 189.</w:t>
            </w:r>
          </w:p>
          <w:p w14:paraId="083F6A1C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Закон України “Про відходи” від 5 березня 1998 року // Відомості Верховної Ради України. – 1998. - N 36-37. - Ст. 242.</w:t>
            </w:r>
          </w:p>
          <w:p w14:paraId="03D66A59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Закон України “Про забезпечення санітарного та епідемічного благополуччя населення” від 24 лютого 1994 року // Відомості Верховної Ради України. – 1994. - N 27. - Ст. 218.</w:t>
            </w:r>
          </w:p>
          <w:p w14:paraId="53BA9852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Закон України “Про Загальнодержавну програму поводження з токсичними відходами” від 14 вересня 2000 року // Відомості Верховної Ради України. – 2000. - N 44. - Ст. 374.</w:t>
            </w:r>
          </w:p>
          <w:p w14:paraId="38726046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Закон України “Про основи містобудування” від 16 листопада 1992 року // Відомості Верховної Ради України. – 1992. - N 52. - Ст. 68.</w:t>
            </w:r>
          </w:p>
          <w:p w14:paraId="16E43925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Закон України “Про охорону атмосферного повітря” від 16 жовтня 1992 року // Відомості Верховної Ради України. – 1992. - N 50. - Ст. 678.</w:t>
            </w:r>
          </w:p>
          <w:p w14:paraId="4C710081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Закон України “Про охорону навколишнього природного середовища” від 25 червня 1991 року // Відомості Верховної Ради України. – 1991. - N 41. - Ст. 546.</w:t>
            </w:r>
          </w:p>
          <w:p w14:paraId="262D3A51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Закон України “Про пестициди і агрохімікати” від 2 березня 1995 року // Відомості Верховної Ради України. – 1995. - N 14. - Ст. 91.</w:t>
            </w:r>
          </w:p>
          <w:p w14:paraId="0CE441D9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“Про ратифікацію Конвенції про доступ до інформації, участь громадськості в процесі прийняття рішень та доступ до правосуддя з питань, що стосуються довкілля” від 6 </w:t>
            </w:r>
            <w:r w:rsidRPr="00F3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липня 1999 року // Відомості Верховної Ради України. – 1999. - N 34. - Ст. 296 (див. також саму Конвенцію).</w:t>
            </w:r>
          </w:p>
          <w:p w14:paraId="55432FC3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Земельний кодекс України від 25 жовтня 2001 року // Урядовий кур’єр. – 2001. – 25 листопада.</w:t>
            </w:r>
          </w:p>
          <w:p w14:paraId="0D8C4142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Кодекс України про адміністративні правопорушення.</w:t>
            </w:r>
          </w:p>
          <w:p w14:paraId="58B0264A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Конституція України, прийнята 28 червня 1996 року // Відомості Верховної Ради України. – 1996. - N 30. - Ст. 141.</w:t>
            </w:r>
            <w:bookmarkStart w:id="0" w:name="2"/>
            <w:bookmarkEnd w:id="0"/>
          </w:p>
          <w:p w14:paraId="78B9D040" w14:textId="77777777" w:rsidR="00F377BD" w:rsidRPr="00F377BD" w:rsidRDefault="00F377BD" w:rsidP="00DB60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D">
              <w:rPr>
                <w:rFonts w:ascii="Times New Roman" w:hAnsi="Times New Roman" w:cs="Times New Roman"/>
                <w:sz w:val="24"/>
                <w:szCs w:val="24"/>
              </w:rPr>
              <w:t>Кримінальний кодекс України від 5 квітня 2000 року // Відомості Верховної Ради України. – 2001. - N 25-26. - Ст. 131.</w:t>
            </w:r>
          </w:p>
          <w:p w14:paraId="1B448A34" w14:textId="77777777" w:rsidR="00F377BD" w:rsidRPr="00F377BD" w:rsidRDefault="00F377BD" w:rsidP="00DB606C">
            <w:pPr>
              <w:pStyle w:val="Bullets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F377BD">
              <w:rPr>
                <w:rFonts w:ascii="Times New Roman" w:hAnsi="Times New Roman"/>
                <w:szCs w:val="24"/>
              </w:rPr>
              <w:t>Про рослинний світ. Закон України від 9 квітня 1999 р. // Відомості Верховної Ради України. – 1999. – №22-23. – Ст.198.</w:t>
            </w:r>
          </w:p>
          <w:p w14:paraId="78CCFB75" w14:textId="77777777" w:rsidR="00F377BD" w:rsidRPr="00F377BD" w:rsidRDefault="00F377BD" w:rsidP="00DB606C">
            <w:pPr>
              <w:pStyle w:val="Bullets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F377BD">
              <w:rPr>
                <w:rFonts w:ascii="Times New Roman" w:hAnsi="Times New Roman"/>
                <w:szCs w:val="24"/>
              </w:rPr>
              <w:t xml:space="preserve">Про оцінку впливу на довкілля. Закон України від 23 травня 2017р. // </w:t>
            </w:r>
            <w:r w:rsidRPr="00F377BD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Відомості Верховної Ради України. – 2017. -  № 29. -  Ст. 315</w:t>
            </w:r>
          </w:p>
          <w:p w14:paraId="6AD7BD2C" w14:textId="77777777" w:rsidR="00F377BD" w:rsidRPr="00F377BD" w:rsidRDefault="00F377BD" w:rsidP="00DB606C">
            <w:pPr>
              <w:pStyle w:val="Bullets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F377BD">
              <w:rPr>
                <w:rStyle w:val="rvts23"/>
                <w:rFonts w:ascii="Times New Roman" w:hAnsi="Times New Roman"/>
                <w:bCs/>
                <w:color w:val="000000"/>
                <w:szCs w:val="24"/>
              </w:rPr>
              <w:t xml:space="preserve">Про стратегічну екологічну оцінку </w:t>
            </w:r>
            <w:r w:rsidRPr="00F377BD">
              <w:rPr>
                <w:rFonts w:ascii="Times New Roman" w:hAnsi="Times New Roman"/>
                <w:szCs w:val="24"/>
              </w:rPr>
              <w:t xml:space="preserve">Закон України від 20 березня 2018р. // </w:t>
            </w:r>
            <w:r w:rsidRPr="00F377BD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Відомості Верховної Ради України. – 2018. -  № 16. -  Ст. 138</w:t>
            </w:r>
            <w:bookmarkStart w:id="1" w:name="n242"/>
            <w:bookmarkEnd w:id="1"/>
          </w:p>
          <w:p w14:paraId="718142FB" w14:textId="77777777" w:rsidR="00F377BD" w:rsidRPr="00F377BD" w:rsidRDefault="00F377BD" w:rsidP="00DB606C">
            <w:pPr>
              <w:pStyle w:val="Bullets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F377BD">
              <w:rPr>
                <w:rFonts w:ascii="Times New Roman" w:hAnsi="Times New Roman"/>
                <w:szCs w:val="24"/>
              </w:rPr>
              <w:t>Про екологічну мережу України. Закон України від 24 червня 2004 // Відомості Верховної Ради України, 2004, № 45.</w:t>
            </w:r>
          </w:p>
          <w:p w14:paraId="2CF8D3B3" w14:textId="5C219A40" w:rsidR="00757335" w:rsidRPr="00AC6C52" w:rsidRDefault="00F377BD" w:rsidP="00AC6C52">
            <w:pPr>
              <w:pStyle w:val="Bullets2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F377BD">
              <w:rPr>
                <w:rFonts w:ascii="Times New Roman" w:hAnsi="Times New Roman"/>
                <w:szCs w:val="24"/>
              </w:rPr>
              <w:t>Про екологічний аудит. Закон України від 24 червня 2004 // Відомості Верховної Ради України, 2004, № 45.</w:t>
            </w:r>
          </w:p>
        </w:tc>
      </w:tr>
      <w:tr w:rsidR="00757335" w:rsidRPr="001C2A85" w14:paraId="0D9568BA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EE77" w14:textId="77777777" w:rsidR="00757335" w:rsidRPr="00F32362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F32362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1DBA" w14:textId="701C9CDE" w:rsidR="00757335" w:rsidRPr="00F32362" w:rsidRDefault="00E01EBD" w:rsidP="00FA728B">
            <w:pPr>
              <w:jc w:val="both"/>
              <w:rPr>
                <w:color w:val="auto"/>
                <w:lang w:val="uk-UA"/>
              </w:rPr>
            </w:pPr>
            <w:bookmarkStart w:id="2" w:name="_GoBack"/>
            <w:r w:rsidRPr="00F32362">
              <w:rPr>
                <w:b/>
                <w:color w:val="auto"/>
                <w:lang w:val="uk-UA"/>
              </w:rPr>
              <w:t>32</w:t>
            </w:r>
            <w:bookmarkEnd w:id="2"/>
            <w:r w:rsidR="00757335" w:rsidRPr="00F32362">
              <w:rPr>
                <w:color w:val="auto"/>
                <w:lang w:val="uk-UA"/>
              </w:rPr>
              <w:t xml:space="preserve">  год.</w:t>
            </w:r>
          </w:p>
          <w:p w14:paraId="0EBD41E3" w14:textId="77777777" w:rsidR="00757335" w:rsidRPr="00F32362" w:rsidRDefault="00757335" w:rsidP="00FA728B">
            <w:pPr>
              <w:jc w:val="both"/>
              <w:rPr>
                <w:color w:val="auto"/>
                <w:lang w:val="uk-UA"/>
              </w:rPr>
            </w:pPr>
          </w:p>
        </w:tc>
      </w:tr>
      <w:tr w:rsidR="00757335" w:rsidRPr="00F32362" w14:paraId="79C9E1D6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5115" w14:textId="77777777" w:rsidR="00757335" w:rsidRPr="00F32362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F3236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5E3C" w14:textId="3D1F7C83" w:rsidR="00757335" w:rsidRPr="00F32362" w:rsidRDefault="006A02C0" w:rsidP="00FA728B">
            <w:pPr>
              <w:jc w:val="both"/>
              <w:rPr>
                <w:color w:val="auto"/>
                <w:lang w:val="uk-UA"/>
              </w:rPr>
            </w:pPr>
            <w:r w:rsidRPr="00F32362">
              <w:rPr>
                <w:b/>
                <w:color w:val="auto"/>
                <w:lang w:val="uk-UA"/>
              </w:rPr>
              <w:t xml:space="preserve">32 </w:t>
            </w:r>
            <w:r w:rsidR="00757335" w:rsidRPr="00F32362">
              <w:rPr>
                <w:color w:val="auto"/>
                <w:lang w:val="uk-UA"/>
              </w:rPr>
              <w:t xml:space="preserve">годин аудиторних занять. З них </w:t>
            </w:r>
            <w:r w:rsidRPr="00F32362">
              <w:rPr>
                <w:color w:val="auto"/>
                <w:lang w:val="uk-UA"/>
              </w:rPr>
              <w:t>16</w:t>
            </w:r>
            <w:r w:rsidR="00757335" w:rsidRPr="00F32362">
              <w:rPr>
                <w:color w:val="auto"/>
                <w:lang w:val="uk-UA"/>
              </w:rPr>
              <w:t xml:space="preserve"> годин лекцій, </w:t>
            </w:r>
            <w:r w:rsidRPr="00F32362">
              <w:rPr>
                <w:color w:val="auto"/>
                <w:lang w:val="uk-UA"/>
              </w:rPr>
              <w:t>16</w:t>
            </w:r>
            <w:r w:rsidR="00757335" w:rsidRPr="00F32362">
              <w:rPr>
                <w:color w:val="auto"/>
                <w:lang w:val="uk-UA"/>
              </w:rPr>
              <w:t xml:space="preserve"> годин лабораторних робіт/практичних занять та самостійної роботи</w:t>
            </w:r>
          </w:p>
        </w:tc>
      </w:tr>
      <w:tr w:rsidR="00757335" w:rsidRPr="00F32362" w14:paraId="7FE17B2C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B7DE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937F" w14:textId="77777777" w:rsidR="00757335" w:rsidRPr="001C2A85" w:rsidRDefault="00757335" w:rsidP="00FA728B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14:paraId="4574836F" w14:textId="7DAF8CB7" w:rsidR="00AF0774" w:rsidRDefault="00757335" w:rsidP="00757335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 xml:space="preserve">нати </w:t>
            </w:r>
            <w:r w:rsidR="00AF0774">
              <w:rPr>
                <w:color w:val="auto"/>
                <w:lang w:val="uk-UA"/>
              </w:rPr>
              <w:t>основи юридичного письма</w:t>
            </w:r>
          </w:p>
          <w:p w14:paraId="6F0A2C6D" w14:textId="40737435" w:rsidR="00757335" w:rsidRDefault="00AF0774" w:rsidP="00757335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Знати </w:t>
            </w:r>
            <w:r w:rsidR="00FF1EAA">
              <w:rPr>
                <w:color w:val="auto"/>
                <w:lang w:val="uk-UA"/>
              </w:rPr>
              <w:t>як співпрацювати із органами влади, судом, як надавати консультацію, як створити якісний юридичний документ</w:t>
            </w:r>
          </w:p>
          <w:p w14:paraId="1C59C883" w14:textId="3DFB1842" w:rsidR="00AF0774" w:rsidRDefault="00AF0774" w:rsidP="00757335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Знати практичні основи процесуального законодавства під час взаємодії з судами</w:t>
            </w:r>
          </w:p>
          <w:p w14:paraId="5282D2E5" w14:textId="5A35616D" w:rsidR="00757335" w:rsidRPr="00FF1EAA" w:rsidRDefault="00757335" w:rsidP="00FA728B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Pr="001C2A85">
              <w:rPr>
                <w:color w:val="auto"/>
                <w:lang w:val="uk-UA"/>
              </w:rPr>
              <w:t xml:space="preserve"> </w:t>
            </w:r>
            <w:r w:rsidR="00FF1EAA">
              <w:rPr>
                <w:color w:val="auto"/>
                <w:lang w:val="uk-UA"/>
              </w:rPr>
              <w:t>правильно оформити запит, звернення, позовну заяву, інші процесуальні документи</w:t>
            </w:r>
          </w:p>
        </w:tc>
      </w:tr>
      <w:tr w:rsidR="00757335" w:rsidRPr="00F32362" w14:paraId="5D0C7562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3AFA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330" w14:textId="528AA4B4" w:rsidR="00757335" w:rsidRPr="001C2A85" w:rsidRDefault="00FF1EAA" w:rsidP="00FA728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Довкілля, екологічні права, земельна ділянка, державний кадастр, сталий розвиток, містобудівна документація</w:t>
            </w:r>
          </w:p>
        </w:tc>
      </w:tr>
      <w:tr w:rsidR="00757335" w:rsidRPr="001C2A85" w14:paraId="4E485679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0EA3" w14:textId="77777777" w:rsidR="00757335" w:rsidRPr="008B58B6" w:rsidRDefault="00757335" w:rsidP="00FA728B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5B7C" w14:textId="6C1C8941" w:rsidR="00757335" w:rsidRPr="001C2A85" w:rsidRDefault="00757335" w:rsidP="00FA728B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>Очний</w:t>
            </w:r>
          </w:p>
        </w:tc>
      </w:tr>
      <w:tr w:rsidR="00757335" w:rsidRPr="00F32362" w14:paraId="1F3D3E62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4329" w14:textId="77777777" w:rsidR="00757335" w:rsidRPr="008B58B6" w:rsidRDefault="00757335" w:rsidP="00FA728B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689E" w14:textId="77777777" w:rsidR="00757335" w:rsidRPr="001C2A85" w:rsidRDefault="00757335" w:rsidP="00FA728B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757335" w:rsidRPr="00F32362" w14:paraId="1D7BF22C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EE5EF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BB60" w14:textId="77777777" w:rsidR="00757335" w:rsidRPr="001C2A85" w:rsidRDefault="00757335" w:rsidP="00FA728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 w:rsidR="00757335" w:rsidRPr="00F32362" w14:paraId="402484B6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407A" w14:textId="77777777" w:rsidR="00757335" w:rsidRPr="00A66DED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4E88" w14:textId="14BAD834" w:rsidR="00757335" w:rsidRDefault="00757335" w:rsidP="00FA728B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залік в кінці семестру/року</w:t>
            </w:r>
          </w:p>
          <w:p w14:paraId="22A57274" w14:textId="5C9A43C0" w:rsidR="00757335" w:rsidRPr="001C2A85" w:rsidRDefault="00757335" w:rsidP="00FA728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  <w:r w:rsidR="00E01EBD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/усний/комбінований </w:t>
            </w:r>
          </w:p>
        </w:tc>
      </w:tr>
      <w:tr w:rsidR="00757335" w:rsidRPr="00F32362" w14:paraId="1216777A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1946" w14:textId="77777777" w:rsidR="00757335" w:rsidRPr="00A66DED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867F" w14:textId="130B2DF9" w:rsidR="00757335" w:rsidRPr="001C2A85" w:rsidRDefault="00757335" w:rsidP="00FA728B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1C38FA">
              <w:rPr>
                <w:color w:val="auto"/>
                <w:lang w:val="uk-UA"/>
              </w:rPr>
              <w:t>теорії держави і права, екологічного, земельного, цивільного, адміністративного права, адміністративного судочинства</w:t>
            </w:r>
            <w:r w:rsidRPr="00A66DED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1C38FA">
              <w:rPr>
                <w:color w:val="auto"/>
                <w:lang w:val="uk-UA"/>
              </w:rPr>
              <w:t xml:space="preserve">курсу </w:t>
            </w:r>
            <w:r w:rsidR="001C38FA" w:rsidRPr="001C2A85">
              <w:rPr>
                <w:color w:val="auto"/>
                <w:lang w:val="uk-UA"/>
              </w:rPr>
              <w:t>«</w:t>
            </w:r>
            <w:r w:rsidR="00063F8C">
              <w:rPr>
                <w:color w:val="auto"/>
                <w:lang w:val="uk-UA"/>
              </w:rPr>
              <w:t>Містобудування, сталий розвиток і довкілля</w:t>
            </w:r>
            <w:r w:rsidR="001C38FA" w:rsidRPr="001C2A85">
              <w:rPr>
                <w:color w:val="auto"/>
                <w:lang w:val="uk-UA"/>
              </w:rPr>
              <w:t>»</w:t>
            </w:r>
            <w:r w:rsidRPr="00A66DED">
              <w:rPr>
                <w:color w:val="auto"/>
                <w:lang w:val="uk-UA"/>
              </w:rPr>
              <w:t>, розуміння</w:t>
            </w:r>
            <w:r>
              <w:rPr>
                <w:color w:val="auto"/>
                <w:lang w:val="uk-UA"/>
              </w:rPr>
              <w:t xml:space="preserve"> </w:t>
            </w:r>
            <w:r w:rsidRPr="00A66DED">
              <w:rPr>
                <w:color w:val="auto"/>
                <w:lang w:val="uk-UA"/>
              </w:rPr>
              <w:t xml:space="preserve">джерел </w:t>
            </w:r>
            <w:r>
              <w:rPr>
                <w:color w:val="auto"/>
                <w:lang w:val="uk-UA"/>
              </w:rPr>
              <w:t>_______________</w:t>
            </w:r>
          </w:p>
        </w:tc>
      </w:tr>
      <w:tr w:rsidR="00757335" w:rsidRPr="00F32362" w14:paraId="0CB9D96B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45C9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Навчальні методи та техніки, які будуть </w:t>
            </w:r>
            <w:r w:rsidRPr="001C2A85">
              <w:rPr>
                <w:b/>
                <w:color w:val="auto"/>
                <w:lang w:val="uk-UA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6D23" w14:textId="5803D865" w:rsidR="00757335" w:rsidRPr="001C2A85" w:rsidRDefault="00757335" w:rsidP="00FA728B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lastRenderedPageBreak/>
              <w:t>Презентація, лекції, колаборативне навчання (форми – групові проекти, спільні розробки, тьюторство,  навчальні спільноти і т. д.) проектно-орієнтоване навчання, дискусія</w:t>
            </w:r>
            <w:r w:rsidR="001C38FA">
              <w:rPr>
                <w:color w:val="auto"/>
                <w:lang w:val="uk-UA"/>
              </w:rPr>
              <w:t>.</w:t>
            </w:r>
          </w:p>
        </w:tc>
      </w:tr>
      <w:tr w:rsidR="00757335" w:rsidRPr="00F32362" w14:paraId="716BB922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A188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912" w14:textId="77777777" w:rsidR="00757335" w:rsidRPr="001C38FA" w:rsidRDefault="00757335" w:rsidP="00FA728B">
            <w:pPr>
              <w:jc w:val="both"/>
              <w:rPr>
                <w:color w:val="auto"/>
                <w:lang w:val="uk-UA"/>
              </w:rPr>
            </w:pPr>
            <w:r w:rsidRPr="001C38FA"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  <w:r w:rsidRPr="001C38FA">
              <w:rPr>
                <w:lang w:val="uk-UA"/>
              </w:rPr>
              <w:t>Вивчення курсу може не потребувати використання програмного забезпечення, крім загально вживаних програм і операційних систем.</w:t>
            </w:r>
          </w:p>
        </w:tc>
      </w:tr>
      <w:tr w:rsidR="00757335" w:rsidRPr="00F32362" w14:paraId="69B51F7F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4623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7F10" w14:textId="4E7B4985" w:rsidR="00757335" w:rsidRPr="001C38FA" w:rsidRDefault="00757335" w:rsidP="00FA728B">
            <w:pPr>
              <w:jc w:val="both"/>
              <w:rPr>
                <w:color w:val="auto"/>
                <w:lang w:val="uk-UA"/>
              </w:rPr>
            </w:pPr>
            <w:r w:rsidRPr="001C38FA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1C38FA">
              <w:rPr>
                <w:color w:val="auto"/>
                <w:lang w:val="uk-UA"/>
              </w:rPr>
              <w:t>в</w:t>
            </w:r>
            <w:r w:rsidRPr="001C38FA">
              <w:rPr>
                <w:color w:val="auto"/>
                <w:lang w:val="uk-UA"/>
              </w:rPr>
              <w:t xml:space="preserve">ідношенням: </w:t>
            </w:r>
          </w:p>
          <w:p w14:paraId="3F5A4F57" w14:textId="77777777" w:rsidR="001C38FA" w:rsidRPr="001C38FA" w:rsidRDefault="001C38FA" w:rsidP="001C38FA">
            <w:pPr>
              <w:jc w:val="both"/>
              <w:rPr>
                <w:color w:val="auto"/>
                <w:lang w:val="uk-UA"/>
              </w:rPr>
            </w:pPr>
            <w:r w:rsidRPr="001C38FA">
              <w:rPr>
                <w:color w:val="auto"/>
                <w:lang w:val="uk-UA"/>
              </w:rPr>
              <w:t>-максимальна кількість балів при оцінюванні знань здобувачів з</w:t>
            </w:r>
          </w:p>
          <w:p w14:paraId="38BC9158" w14:textId="6959A87B" w:rsidR="001C38FA" w:rsidRPr="001C38FA" w:rsidRDefault="001C38FA" w:rsidP="001C38FA">
            <w:pPr>
              <w:jc w:val="both"/>
              <w:rPr>
                <w:color w:val="auto"/>
                <w:lang w:val="uk-UA"/>
              </w:rPr>
            </w:pPr>
            <w:r w:rsidRPr="001C38FA">
              <w:rPr>
                <w:color w:val="auto"/>
                <w:lang w:val="uk-UA"/>
              </w:rPr>
              <w:t>дисципліни, яка завершується заліком, становить за поточну успішність 50 балів, на іспиті – 50 балів;</w:t>
            </w:r>
          </w:p>
          <w:p w14:paraId="3520BEFA" w14:textId="77777777" w:rsidR="001C38FA" w:rsidRPr="001C38FA" w:rsidRDefault="001C38FA" w:rsidP="001C38FA">
            <w:pPr>
              <w:jc w:val="both"/>
              <w:rPr>
                <w:color w:val="auto"/>
                <w:lang w:val="uk-UA"/>
              </w:rPr>
            </w:pPr>
            <w:r w:rsidRPr="001C38FA">
              <w:rPr>
                <w:color w:val="auto"/>
                <w:lang w:val="uk-UA"/>
              </w:rPr>
              <w:t>-при оформленні документів за екзаменаційну сесію використовується</w:t>
            </w:r>
          </w:p>
          <w:p w14:paraId="444B46C6" w14:textId="77777777" w:rsidR="001C38FA" w:rsidRPr="001C38FA" w:rsidRDefault="001C38FA" w:rsidP="001C38FA">
            <w:pPr>
              <w:jc w:val="both"/>
              <w:rPr>
                <w:color w:val="auto"/>
                <w:lang w:val="uk-UA"/>
              </w:rPr>
            </w:pPr>
            <w:r w:rsidRPr="001C38FA">
              <w:rPr>
                <w:color w:val="auto"/>
                <w:lang w:val="uk-UA"/>
              </w:rPr>
              <w:t>таблиця відповідності оцінювання знань здобувачів за різними системами.</w:t>
            </w:r>
          </w:p>
          <w:p w14:paraId="6137ABE5" w14:textId="5EDC8F88" w:rsidR="00757335" w:rsidRPr="001C38FA" w:rsidRDefault="001C38FA" w:rsidP="001C38FA">
            <w:pPr>
              <w:jc w:val="both"/>
              <w:rPr>
                <w:color w:val="auto"/>
                <w:lang w:val="uk-UA"/>
              </w:rPr>
            </w:pPr>
            <w:r w:rsidRPr="001C38FA">
              <w:rPr>
                <w:color w:val="auto"/>
                <w:lang w:val="uk-UA"/>
              </w:rPr>
              <w:t>Протягом семестру проводиться не менше одного модуля або колоквіуму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ECTS, у балах та національній шкалі визначається Вченими радами факультетів або кафедрами, які забезпечують викладання відповідних дисциплін.</w:t>
            </w:r>
          </w:p>
          <w:p w14:paraId="2FCA5C8A" w14:textId="77777777" w:rsidR="00757335" w:rsidRPr="001C38FA" w:rsidRDefault="00757335" w:rsidP="00FA728B">
            <w:pPr>
              <w:jc w:val="both"/>
              <w:rPr>
                <w:color w:val="auto"/>
                <w:lang w:val="uk-UA"/>
              </w:rPr>
            </w:pPr>
          </w:p>
          <w:p w14:paraId="31DECD05" w14:textId="77777777" w:rsidR="001C38FA" w:rsidRPr="001C38FA" w:rsidRDefault="00757335" w:rsidP="00FA728B">
            <w:pPr>
              <w:jc w:val="both"/>
              <w:rPr>
                <w:lang w:val="uk-UA"/>
              </w:rPr>
            </w:pPr>
            <w:r w:rsidRPr="001C38FA">
              <w:rPr>
                <w:b/>
                <w:lang w:val="uk-UA"/>
              </w:rPr>
              <w:t>Письмові роботи:</w:t>
            </w:r>
            <w:r w:rsidRPr="001C38FA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</w:t>
            </w:r>
          </w:p>
          <w:p w14:paraId="3490A4BA" w14:textId="77777777" w:rsidR="001C38FA" w:rsidRPr="001C38FA" w:rsidRDefault="00757335" w:rsidP="00FA728B">
            <w:pPr>
              <w:jc w:val="both"/>
              <w:rPr>
                <w:lang w:val="uk-UA"/>
              </w:rPr>
            </w:pPr>
            <w:r w:rsidRPr="001C38FA">
              <w:rPr>
                <w:b/>
                <w:lang w:val="uk-UA"/>
              </w:rPr>
              <w:t>Академічна доброчесність</w:t>
            </w:r>
            <w:r w:rsidRPr="001C38FA">
              <w:rPr>
                <w:lang w:val="uk-UA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</w:t>
            </w:r>
          </w:p>
          <w:p w14:paraId="74D15E06" w14:textId="77777777" w:rsidR="001C38FA" w:rsidRPr="001C38FA" w:rsidRDefault="00757335" w:rsidP="00FA728B">
            <w:pPr>
              <w:jc w:val="both"/>
              <w:rPr>
                <w:lang w:val="uk-UA"/>
              </w:rPr>
            </w:pPr>
            <w:r w:rsidRPr="001C38FA">
              <w:rPr>
                <w:b/>
                <w:lang w:val="uk-UA"/>
              </w:rPr>
              <w:t>Відвідання занять</w:t>
            </w:r>
            <w:r w:rsidRPr="001C38FA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</w:t>
            </w:r>
          </w:p>
          <w:p w14:paraId="014CE6A4" w14:textId="6C78E40B" w:rsidR="00757335" w:rsidRPr="001C38FA" w:rsidRDefault="00757335" w:rsidP="00FA728B">
            <w:pPr>
              <w:jc w:val="both"/>
              <w:rPr>
                <w:color w:val="auto"/>
                <w:lang w:val="uk-UA"/>
              </w:rPr>
            </w:pPr>
            <w:r w:rsidRPr="001C38FA">
              <w:rPr>
                <w:b/>
                <w:lang w:val="uk-UA"/>
              </w:rPr>
              <w:t>Література.</w:t>
            </w:r>
            <w:r w:rsidRPr="001C38FA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7E38C025" w14:textId="77777777" w:rsidR="00757335" w:rsidRPr="001C38FA" w:rsidRDefault="00757335" w:rsidP="00FA728B">
            <w:pPr>
              <w:jc w:val="both"/>
              <w:rPr>
                <w:color w:val="auto"/>
                <w:lang w:val="uk-UA"/>
              </w:rPr>
            </w:pPr>
          </w:p>
          <w:p w14:paraId="62304FD7" w14:textId="77777777" w:rsidR="00757335" w:rsidRPr="001C38FA" w:rsidRDefault="00757335" w:rsidP="00FA728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38FA">
              <w:rPr>
                <w:color w:val="auto"/>
                <w:lang w:val="uk-UA"/>
              </w:rPr>
              <w:t>П</w:t>
            </w:r>
            <w:r w:rsidRPr="001C38FA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38FA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273CEFB" w14:textId="77777777" w:rsidR="00757335" w:rsidRPr="001C38FA" w:rsidRDefault="00757335" w:rsidP="00FA728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5FD87841" w14:textId="77777777" w:rsidR="00757335" w:rsidRPr="001C38FA" w:rsidRDefault="00757335" w:rsidP="00FA728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38FA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0E8A463C" w14:textId="77777777" w:rsidR="00757335" w:rsidRPr="001C38FA" w:rsidRDefault="00757335" w:rsidP="00FA728B">
            <w:pPr>
              <w:jc w:val="both"/>
              <w:rPr>
                <w:color w:val="auto"/>
                <w:lang w:val="uk-UA"/>
              </w:rPr>
            </w:pPr>
          </w:p>
        </w:tc>
      </w:tr>
      <w:tr w:rsidR="00757335" w:rsidRPr="00F32362" w14:paraId="1DC819AE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31B6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7022" w14:textId="29C55C09" w:rsidR="001E6350" w:rsidRPr="00F32362" w:rsidRDefault="001E635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 w:rsidRPr="00F32362">
              <w:rPr>
                <w:rFonts w:ascii="TimesNewRomanPSMT" w:hAnsi="TimesNewRomanPSMT"/>
                <w:szCs w:val="22"/>
                <w:lang w:val="ru-RU"/>
              </w:rPr>
              <w:t xml:space="preserve">Екологічні права людини, інтереси довкілля та верховенство права. </w:t>
            </w:r>
          </w:p>
          <w:p w14:paraId="1368905A" w14:textId="1567205D" w:rsidR="001E6350" w:rsidRPr="00F32362" w:rsidRDefault="000D43B7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Концепція с</w:t>
            </w:r>
            <w:r w:rsidR="001E6350" w:rsidRPr="001E6350">
              <w:rPr>
                <w:rFonts w:ascii="TimesNewRomanPSMT" w:hAnsi="TimesNewRomanPSMT"/>
                <w:szCs w:val="22"/>
                <w:lang w:val="uk-UA"/>
              </w:rPr>
              <w:t>тал</w:t>
            </w:r>
            <w:r>
              <w:rPr>
                <w:rFonts w:ascii="TimesNewRomanPSMT" w:hAnsi="TimesNewRomanPSMT"/>
                <w:szCs w:val="22"/>
                <w:lang w:val="uk-UA"/>
              </w:rPr>
              <w:t>ого</w:t>
            </w:r>
            <w:r w:rsidR="001E6350" w:rsidRPr="001E6350">
              <w:rPr>
                <w:rFonts w:ascii="TimesNewRomanPSMT" w:hAnsi="TimesNewRomanPSMT"/>
                <w:szCs w:val="22"/>
                <w:lang w:val="uk-UA"/>
              </w:rPr>
              <w:t xml:space="preserve"> розвит</w:t>
            </w:r>
            <w:r>
              <w:rPr>
                <w:rFonts w:ascii="TimesNewRomanPSMT" w:hAnsi="TimesNewRomanPSMT"/>
                <w:szCs w:val="22"/>
                <w:lang w:val="uk-UA"/>
              </w:rPr>
              <w:t>ку: теорія та практика.</w:t>
            </w:r>
          </w:p>
          <w:p w14:paraId="564E98F9" w14:textId="536C8F58" w:rsidR="001E6350" w:rsidRPr="00F32362" w:rsidRDefault="001E635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 w:rsidRPr="00F32362">
              <w:rPr>
                <w:rFonts w:ascii="TimesNewRomanPSMT" w:hAnsi="TimesNewRomanPSMT"/>
                <w:szCs w:val="22"/>
                <w:lang w:val="ru-RU"/>
              </w:rPr>
              <w:t xml:space="preserve">Доступ до екологічної інформації в Україні: теоретичні напрацювання та практичні реалії. </w:t>
            </w:r>
          </w:p>
          <w:p w14:paraId="06C411F1" w14:textId="209ACA11" w:rsidR="00E40AF0" w:rsidRDefault="00E40AF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Запит на екологічну інформацію.</w:t>
            </w:r>
          </w:p>
          <w:p w14:paraId="3BA28B8C" w14:textId="7E8F1D86" w:rsidR="00E40AF0" w:rsidRPr="00F32362" w:rsidRDefault="00E40AF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Судова практика у сфері забезпечення доступу до екологічної інформації.</w:t>
            </w:r>
          </w:p>
          <w:p w14:paraId="37B4D554" w14:textId="050124B8" w:rsidR="001E6350" w:rsidRPr="00F32362" w:rsidRDefault="001E635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Оцінка впливу на довкілля</w:t>
            </w:r>
            <w:r w:rsidR="00BF3AF2">
              <w:rPr>
                <w:rFonts w:ascii="TimesNewRomanPSMT" w:hAnsi="TimesNewRomanPSMT"/>
                <w:szCs w:val="22"/>
                <w:lang w:val="uk-UA"/>
              </w:rPr>
              <w:t>. Проблемні питання законодавства про ОВД.</w:t>
            </w:r>
          </w:p>
          <w:p w14:paraId="17EA59F3" w14:textId="06C5AF04" w:rsidR="00E40AF0" w:rsidRPr="00F32362" w:rsidRDefault="00E40AF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Судова практика у сфері оскарження процедури оцінки впливу на довкілля.</w:t>
            </w:r>
          </w:p>
          <w:p w14:paraId="098B2846" w14:textId="77777777" w:rsidR="00C70067" w:rsidRPr="00F32362" w:rsidRDefault="000D43B7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 w:rsidRPr="000D43B7">
              <w:rPr>
                <w:lang w:val="uk-UA" w:eastAsia="ru-RU"/>
              </w:rPr>
              <w:t>Застосування Європейської конвенції з прав людини для захисту екологічних прав та довкілля</w:t>
            </w:r>
            <w:r w:rsidR="00BF3AF2">
              <w:rPr>
                <w:lang w:val="uk-UA" w:eastAsia="ru-RU"/>
              </w:rPr>
              <w:t>.</w:t>
            </w:r>
          </w:p>
          <w:p w14:paraId="64F07CD8" w14:textId="60AE56D6" w:rsidR="000D43B7" w:rsidRPr="00F32362" w:rsidRDefault="00BF3AF2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>
              <w:rPr>
                <w:lang w:val="uk-UA" w:eastAsia="ru-RU"/>
              </w:rPr>
              <w:t xml:space="preserve">Приклади </w:t>
            </w:r>
            <w:r w:rsidR="00E40AF0">
              <w:rPr>
                <w:lang w:val="uk-UA" w:eastAsia="ru-RU"/>
              </w:rPr>
              <w:t xml:space="preserve">практичних </w:t>
            </w:r>
            <w:r>
              <w:rPr>
                <w:lang w:val="uk-UA" w:eastAsia="ru-RU"/>
              </w:rPr>
              <w:t xml:space="preserve">кейсів </w:t>
            </w:r>
            <w:r w:rsidR="00C70067">
              <w:rPr>
                <w:lang w:val="uk-UA" w:eastAsia="ru-RU"/>
              </w:rPr>
              <w:t xml:space="preserve">ЄСПЛ </w:t>
            </w:r>
            <w:r>
              <w:rPr>
                <w:lang w:val="uk-UA" w:eastAsia="ru-RU"/>
              </w:rPr>
              <w:t>з України та Європи</w:t>
            </w:r>
            <w:r w:rsidR="00E40AF0">
              <w:rPr>
                <w:lang w:val="uk-UA" w:eastAsia="ru-RU"/>
              </w:rPr>
              <w:t>.</w:t>
            </w:r>
          </w:p>
          <w:p w14:paraId="230A31CC" w14:textId="06B19010" w:rsidR="001E6350" w:rsidRPr="00F32362" w:rsidRDefault="001E635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 w:rsidRPr="00F32362">
              <w:rPr>
                <w:rFonts w:ascii="TimesNewRomanPSMT" w:hAnsi="TimesNewRomanPSMT"/>
                <w:szCs w:val="22"/>
                <w:lang w:val="ru-RU"/>
              </w:rPr>
              <w:t xml:space="preserve">Забезпечення екологічних прав людини у процедурі оцінки впливу на довкілля із врахуванням балансу інтересів довкілля і бізнесу. </w:t>
            </w:r>
          </w:p>
          <w:p w14:paraId="177113DA" w14:textId="76A26DEB" w:rsidR="00E658A3" w:rsidRPr="00F32362" w:rsidRDefault="00E658A3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Міжнародне екологічне право</w:t>
            </w:r>
            <w:r w:rsidR="00C70067">
              <w:rPr>
                <w:rFonts w:ascii="TimesNewRomanPSMT" w:hAnsi="TimesNewRomanPSMT"/>
                <w:szCs w:val="22"/>
                <w:lang w:val="uk-UA"/>
              </w:rPr>
              <w:t>, його значення для національного екологічного права.</w:t>
            </w:r>
          </w:p>
          <w:p w14:paraId="505FCDF3" w14:textId="3DD3F6F6" w:rsidR="00C70067" w:rsidRPr="00F32362" w:rsidRDefault="00C70067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 w:rsidRPr="00F32362">
              <w:rPr>
                <w:rFonts w:ascii="TimesNewRomanPSMT" w:hAnsi="TimesNewRomanPSMT"/>
                <w:szCs w:val="22"/>
                <w:lang w:val="ru-RU"/>
              </w:rPr>
              <w:t>Види міжнародно-правових актів як джерел екологічного права України</w:t>
            </w:r>
          </w:p>
          <w:p w14:paraId="0E457554" w14:textId="6FA6D71B" w:rsidR="00C70067" w:rsidRPr="00F32362" w:rsidRDefault="00C70067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 xml:space="preserve">Імплементація </w:t>
            </w:r>
            <w:r w:rsidRPr="00C70067">
              <w:rPr>
                <w:rFonts w:ascii="TimesNewRomanPSMT" w:hAnsi="TimesNewRomanPSMT"/>
                <w:szCs w:val="22"/>
                <w:lang w:val="uk-UA"/>
              </w:rPr>
              <w:t>міжнародно-правових актів у галузі охорони довкілля в національне екологічне законодавство</w:t>
            </w:r>
          </w:p>
          <w:p w14:paraId="4E79FE60" w14:textId="03B9B4A8" w:rsidR="00E40AF0" w:rsidRPr="00F32362" w:rsidRDefault="00E40AF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Концепція «мʼякого» та «твердого» права у міжн</w:t>
            </w:r>
            <w:r w:rsidR="00C70067">
              <w:rPr>
                <w:rFonts w:ascii="TimesNewRomanPSMT" w:hAnsi="TimesNewRomanPSMT"/>
                <w:szCs w:val="22"/>
                <w:lang w:val="uk-UA"/>
              </w:rPr>
              <w:t>ародному екологічному праві</w:t>
            </w:r>
          </w:p>
          <w:p w14:paraId="3D92F132" w14:textId="365FE215" w:rsidR="001E6350" w:rsidRPr="001E6350" w:rsidRDefault="001E635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Формування земельної ділянки</w:t>
            </w:r>
          </w:p>
          <w:p w14:paraId="63154349" w14:textId="77C50A67" w:rsidR="001E6350" w:rsidRDefault="001E635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Категорії земель та їх особливості</w:t>
            </w:r>
          </w:p>
          <w:p w14:paraId="5925259E" w14:textId="21F13535" w:rsidR="001E6350" w:rsidRPr="00F32362" w:rsidRDefault="001E635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 w:rsidRPr="00F32362">
              <w:rPr>
                <w:rFonts w:ascii="TimesNewRomanPSMT" w:hAnsi="TimesNewRomanPSMT"/>
                <w:szCs w:val="22"/>
                <w:lang w:val="ru-RU"/>
              </w:rPr>
              <w:t xml:space="preserve">Безоплатна приватизація земельної ділянки: міф чи реальність? </w:t>
            </w:r>
          </w:p>
          <w:p w14:paraId="5C930F84" w14:textId="72BDD0DC" w:rsidR="001E6350" w:rsidRPr="00F32362" w:rsidRDefault="001E635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 w:rsidRPr="00F32362">
              <w:rPr>
                <w:rFonts w:ascii="TimesNewRomanPSMT" w:hAnsi="TimesNewRomanPSMT"/>
                <w:szCs w:val="22"/>
                <w:lang w:val="ru-RU"/>
              </w:rPr>
              <w:t>Скасування мораторію на продаж земель сільськогосподарського призначення як елемент забезпечення права власності на землі в Україні.</w:t>
            </w:r>
          </w:p>
          <w:p w14:paraId="770282E0" w14:textId="03C22717" w:rsidR="00C70067" w:rsidRPr="00F32362" w:rsidRDefault="00C70067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  <w:lang w:val="ru-RU"/>
              </w:rPr>
            </w:pPr>
            <w:r w:rsidRPr="000401D6">
              <w:rPr>
                <w:lang w:val="uk-UA"/>
              </w:rPr>
              <w:t>Правове регулювання обігу сільськогосподарських земель в країнах ЄС</w:t>
            </w:r>
            <w:r>
              <w:rPr>
                <w:lang w:val="uk-UA"/>
              </w:rPr>
              <w:t xml:space="preserve">. </w:t>
            </w:r>
          </w:p>
          <w:p w14:paraId="7A6D9B19" w14:textId="402F6036" w:rsidR="001E6350" w:rsidRPr="001E6350" w:rsidRDefault="001E635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Землі житлової та громадської забудови</w:t>
            </w:r>
            <w:r w:rsidR="00B75272">
              <w:rPr>
                <w:rFonts w:ascii="TimesNewRomanPSMT" w:hAnsi="TimesNewRomanPSMT"/>
                <w:szCs w:val="22"/>
                <w:lang w:val="uk-UA"/>
              </w:rPr>
              <w:t>. Специфіка правозастосування</w:t>
            </w:r>
          </w:p>
          <w:p w14:paraId="1F64193C" w14:textId="27CD61FB" w:rsidR="001E6350" w:rsidRPr="001E6350" w:rsidRDefault="001E6350" w:rsidP="001E6350">
            <w:pPr>
              <w:pStyle w:val="a7"/>
              <w:numPr>
                <w:ilvl w:val="0"/>
                <w:numId w:val="3"/>
              </w:numPr>
              <w:rPr>
                <w:rFonts w:ascii="TimesNewRomanPSMT" w:hAnsi="TimesNewRomanPSMT"/>
                <w:szCs w:val="22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Основи містобудування</w:t>
            </w:r>
          </w:p>
          <w:p w14:paraId="2C144D96" w14:textId="661B3956" w:rsidR="00757335" w:rsidRPr="00E40AF0" w:rsidRDefault="001E6350" w:rsidP="001E6350">
            <w:pPr>
              <w:pStyle w:val="a7"/>
              <w:numPr>
                <w:ilvl w:val="0"/>
                <w:numId w:val="3"/>
              </w:numPr>
              <w:rPr>
                <w:lang w:val="uk-UA" w:eastAsia="uk-UA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Містобудівна документація</w:t>
            </w:r>
            <w:r w:rsidR="00B75272">
              <w:rPr>
                <w:rFonts w:ascii="TimesNewRomanPSMT" w:hAnsi="TimesNewRomanPSMT"/>
                <w:szCs w:val="22"/>
                <w:lang w:val="uk-UA"/>
              </w:rPr>
              <w:t>. ДБН</w:t>
            </w:r>
          </w:p>
          <w:p w14:paraId="34A9A105" w14:textId="123D040A" w:rsidR="00E40AF0" w:rsidRPr="00B75272" w:rsidRDefault="00E40AF0" w:rsidP="001E6350">
            <w:pPr>
              <w:pStyle w:val="a7"/>
              <w:numPr>
                <w:ilvl w:val="0"/>
                <w:numId w:val="3"/>
              </w:numPr>
              <w:rPr>
                <w:lang w:val="uk-UA" w:eastAsia="uk-UA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Містобудівні умови та обмеження</w:t>
            </w:r>
          </w:p>
          <w:p w14:paraId="49D0AD7A" w14:textId="76A4ADED" w:rsidR="00B75272" w:rsidRPr="00E40AF0" w:rsidRDefault="00B75272" w:rsidP="001E6350">
            <w:pPr>
              <w:pStyle w:val="a7"/>
              <w:numPr>
                <w:ilvl w:val="0"/>
                <w:numId w:val="3"/>
              </w:numPr>
              <w:rPr>
                <w:lang w:val="uk-UA" w:eastAsia="uk-UA"/>
              </w:rPr>
            </w:pPr>
            <w:r>
              <w:rPr>
                <w:lang w:val="uk-UA" w:eastAsia="uk-UA"/>
              </w:rPr>
              <w:t>Обʼєкти культурної спадщини та будівництво.</w:t>
            </w:r>
          </w:p>
          <w:p w14:paraId="78B617B2" w14:textId="7A6AE500" w:rsidR="00E40AF0" w:rsidRPr="001E6350" w:rsidRDefault="00E40AF0" w:rsidP="001E6350">
            <w:pPr>
              <w:pStyle w:val="a7"/>
              <w:numPr>
                <w:ilvl w:val="0"/>
                <w:numId w:val="3"/>
              </w:numPr>
              <w:rPr>
                <w:lang w:val="uk-UA" w:eastAsia="uk-UA"/>
              </w:rPr>
            </w:pPr>
            <w:r>
              <w:rPr>
                <w:rFonts w:ascii="TimesNewRomanPSMT" w:hAnsi="TimesNewRomanPSMT"/>
                <w:szCs w:val="22"/>
                <w:lang w:val="uk-UA"/>
              </w:rPr>
              <w:t>Судова практика у спорах щодо оскарження містобудівної документації</w:t>
            </w:r>
          </w:p>
          <w:p w14:paraId="548E0FDA" w14:textId="77777777" w:rsidR="00E40AF0" w:rsidRDefault="001E6350" w:rsidP="001E6350">
            <w:pPr>
              <w:pStyle w:val="a7"/>
              <w:numPr>
                <w:ilvl w:val="0"/>
                <w:numId w:val="3"/>
              </w:numPr>
              <w:rPr>
                <w:lang w:val="uk-UA" w:eastAsia="uk-UA"/>
              </w:rPr>
            </w:pPr>
            <w:r>
              <w:rPr>
                <w:lang w:val="uk-UA" w:eastAsia="uk-UA"/>
              </w:rPr>
              <w:t>Відповідальність за екологічні правопорушення</w:t>
            </w:r>
            <w:r w:rsidR="00E40AF0">
              <w:rPr>
                <w:lang w:val="uk-UA" w:eastAsia="uk-UA"/>
              </w:rPr>
              <w:t>.</w:t>
            </w:r>
          </w:p>
          <w:p w14:paraId="7C6A86F3" w14:textId="0358E977" w:rsidR="001E6350" w:rsidRPr="001E6350" w:rsidRDefault="00E40AF0" w:rsidP="001E6350">
            <w:pPr>
              <w:pStyle w:val="a7"/>
              <w:numPr>
                <w:ilvl w:val="0"/>
                <w:numId w:val="3"/>
              </w:num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Відповідальність за </w:t>
            </w:r>
            <w:r w:rsidR="001E6350">
              <w:rPr>
                <w:lang w:val="uk-UA" w:eastAsia="uk-UA"/>
              </w:rPr>
              <w:t>порушення у сфері містобудування</w:t>
            </w:r>
          </w:p>
        </w:tc>
      </w:tr>
      <w:tr w:rsidR="00757335" w:rsidRPr="00F32362" w14:paraId="52A23B23" w14:textId="77777777" w:rsidTr="00FA728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F65D" w14:textId="77777777" w:rsidR="00757335" w:rsidRPr="001C2A85" w:rsidRDefault="00757335" w:rsidP="00FA728B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1293" w14:textId="77777777" w:rsidR="00757335" w:rsidRPr="001C2A85" w:rsidRDefault="00757335" w:rsidP="00FA728B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4C38E3A" w14:textId="77777777" w:rsidR="00757335" w:rsidRDefault="00757335" w:rsidP="00757335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14:paraId="4D340436" w14:textId="77777777" w:rsidR="00757335" w:rsidRPr="008B58B6" w:rsidRDefault="00757335" w:rsidP="00757335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66BEA7A6" w14:textId="77777777" w:rsidR="000D43B7" w:rsidRDefault="000D43B7" w:rsidP="00757335">
      <w:pPr>
        <w:rPr>
          <w:rFonts w:ascii="Garamond" w:hAnsi="Garamond" w:cs="Garamond"/>
          <w:sz w:val="8"/>
          <w:szCs w:val="8"/>
          <w:lang w:val="uk-UA"/>
        </w:rPr>
      </w:pPr>
    </w:p>
    <w:p w14:paraId="0017EA23" w14:textId="3027FF5A" w:rsidR="00757335" w:rsidRDefault="00757335">
      <w:pPr>
        <w:rPr>
          <w:lang w:val="uk-UA"/>
        </w:rPr>
      </w:pPr>
    </w:p>
    <w:p w14:paraId="097BE7A1" w14:textId="7171CD59" w:rsidR="00B96D3B" w:rsidRDefault="00B96D3B">
      <w:pPr>
        <w:rPr>
          <w:lang w:val="uk-UA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357"/>
        <w:gridCol w:w="66"/>
        <w:gridCol w:w="1343"/>
        <w:gridCol w:w="1408"/>
        <w:gridCol w:w="1647"/>
        <w:gridCol w:w="833"/>
        <w:gridCol w:w="1209"/>
      </w:tblGrid>
      <w:tr w:rsidR="00B96D3B" w:rsidRPr="00D5396C" w14:paraId="5D6DD518" w14:textId="77777777" w:rsidTr="007B428E">
        <w:tc>
          <w:tcPr>
            <w:tcW w:w="10886" w:type="dxa"/>
            <w:gridSpan w:val="8"/>
            <w:shd w:val="clear" w:color="auto" w:fill="F2F2F2"/>
          </w:tcPr>
          <w:p w14:paraId="643842F6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 xml:space="preserve">СХЕМА КУРСУ </w:t>
            </w:r>
          </w:p>
        </w:tc>
      </w:tr>
      <w:tr w:rsidR="00B96D3B" w:rsidRPr="00D5396C" w14:paraId="56C0BBCC" w14:textId="77777777" w:rsidTr="007B428E">
        <w:tc>
          <w:tcPr>
            <w:tcW w:w="1023" w:type="dxa"/>
            <w:shd w:val="clear" w:color="auto" w:fill="auto"/>
            <w:vAlign w:val="center"/>
          </w:tcPr>
          <w:p w14:paraId="5994F1FA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>Тиждень / год</w:t>
            </w:r>
          </w:p>
          <w:p w14:paraId="4213F21D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123C2AC3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>Тема, план, короткі тези</w:t>
            </w:r>
          </w:p>
          <w:p w14:paraId="294147B8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8691F42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>Форма</w:t>
            </w:r>
          </w:p>
          <w:p w14:paraId="03E0F069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>діяльності</w:t>
            </w:r>
          </w:p>
          <w:p w14:paraId="67739FEB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>(заняття) /</w:t>
            </w:r>
          </w:p>
          <w:p w14:paraId="59CAE7EA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>Формат</w:t>
            </w:r>
          </w:p>
          <w:p w14:paraId="582FEB46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161D284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>Матеріали / Література, ресурси в інтернеті</w:t>
            </w:r>
          </w:p>
          <w:p w14:paraId="60D5F5FB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0B4A8AD5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 xml:space="preserve">Завдання, </w:t>
            </w:r>
          </w:p>
          <w:p w14:paraId="45BCCF64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>год.</w:t>
            </w:r>
          </w:p>
          <w:p w14:paraId="776D0A23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2AE69D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>Вага оцінки</w:t>
            </w:r>
          </w:p>
          <w:p w14:paraId="61DDDF4A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7CBF3F3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5396C">
              <w:rPr>
                <w:b/>
                <w:sz w:val="20"/>
                <w:szCs w:val="20"/>
                <w:lang w:val="uk-UA"/>
              </w:rPr>
              <w:t>Терміни виконання</w:t>
            </w:r>
          </w:p>
          <w:p w14:paraId="065A717F" w14:textId="77777777" w:rsidR="00B96D3B" w:rsidRPr="00D5396C" w:rsidRDefault="00B96D3B" w:rsidP="007B428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96D3B" w:rsidRPr="00F32362" w14:paraId="493320C5" w14:textId="77777777" w:rsidTr="007B428E">
        <w:tc>
          <w:tcPr>
            <w:tcW w:w="1023" w:type="dxa"/>
            <w:shd w:val="clear" w:color="auto" w:fill="auto"/>
            <w:vAlign w:val="center"/>
          </w:tcPr>
          <w:p w14:paraId="3AF176D3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1 /</w:t>
            </w:r>
          </w:p>
          <w:p w14:paraId="5C683DD7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2214E7BC" w14:textId="5C1575A4" w:rsidR="00B96D3B" w:rsidRPr="00F32362" w:rsidRDefault="00B96D3B" w:rsidP="00B96D3B">
            <w:pPr>
              <w:rPr>
                <w:lang w:val="ru-RU"/>
              </w:rPr>
            </w:pPr>
            <w:r w:rsidRPr="00F32362">
              <w:rPr>
                <w:b/>
                <w:lang w:val="ru-RU" w:eastAsia="ru-RU"/>
              </w:rPr>
              <w:t xml:space="preserve">Тема 1. </w:t>
            </w:r>
            <w:r w:rsidRPr="00F32362">
              <w:rPr>
                <w:lang w:val="ru-RU"/>
              </w:rPr>
              <w:t>Екологічні права людини, інтереси довкілля та верховенство права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70AEC0B" w14:textId="77777777" w:rsidR="00B96D3B" w:rsidRPr="00D254A5" w:rsidRDefault="00B96D3B" w:rsidP="007B428E">
            <w:pPr>
              <w:jc w:val="center"/>
              <w:rPr>
                <w:b/>
                <w:bCs/>
                <w:lang w:val="uk-UA"/>
              </w:rPr>
            </w:pPr>
            <w:r w:rsidRPr="00D254A5">
              <w:rPr>
                <w:b/>
                <w:bCs/>
                <w:lang w:val="uk-UA"/>
              </w:rPr>
              <w:t xml:space="preserve">Лекція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0E262F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Презентація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DB97CA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Передивитися презентацію та рекомендовану літературу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5AFB7F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26F0C2F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292AE12E" w14:textId="77777777" w:rsidTr="007B428E">
        <w:tc>
          <w:tcPr>
            <w:tcW w:w="1023" w:type="dxa"/>
            <w:shd w:val="clear" w:color="auto" w:fill="auto"/>
            <w:vAlign w:val="center"/>
          </w:tcPr>
          <w:p w14:paraId="497CFA29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2 /</w:t>
            </w:r>
          </w:p>
          <w:p w14:paraId="5A95D381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40DFE92F" w14:textId="3FB44BDB" w:rsidR="00B96D3B" w:rsidRPr="00D254A5" w:rsidRDefault="00B96D3B" w:rsidP="007B428E">
            <w:pPr>
              <w:rPr>
                <w:b/>
                <w:lang w:val="uk-UA"/>
              </w:rPr>
            </w:pPr>
            <w:r w:rsidRPr="00F32362">
              <w:rPr>
                <w:b/>
                <w:lang w:val="ru-RU" w:eastAsia="ru-RU"/>
              </w:rPr>
              <w:t xml:space="preserve">Тема 1. </w:t>
            </w:r>
            <w:r w:rsidRPr="00F32362">
              <w:rPr>
                <w:lang w:val="ru-RU"/>
              </w:rPr>
              <w:t>Екологічні права людини, інтереси довкілля та верховенство прав</w:t>
            </w:r>
            <w:r w:rsidR="00D254A5">
              <w:rPr>
                <w:lang w:val="uk-UA"/>
              </w:rPr>
              <w:t>а</w:t>
            </w:r>
          </w:p>
          <w:p w14:paraId="69018A70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B28C6C5" w14:textId="77777777" w:rsidR="00B96D3B" w:rsidRPr="00D254A5" w:rsidRDefault="00B96D3B" w:rsidP="007B428E">
            <w:pPr>
              <w:jc w:val="center"/>
              <w:rPr>
                <w:b/>
                <w:bCs/>
                <w:lang w:val="uk-UA"/>
              </w:rPr>
            </w:pPr>
            <w:r w:rsidRPr="00D254A5">
              <w:rPr>
                <w:b/>
                <w:bCs/>
                <w:lang w:val="uk-UA"/>
              </w:rPr>
              <w:t>Практичне заняття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65E7CD5" w14:textId="685C464C" w:rsidR="00B96D3B" w:rsidRPr="00D5396C" w:rsidRDefault="00B42BE8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Вирішення практичних завдань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1E7EE97" w14:textId="497BA6A1" w:rsidR="00B96D3B" w:rsidRPr="00D5396C" w:rsidRDefault="00B42BE8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Аналіз нормативно-правових актів та судової практики</w:t>
            </w:r>
            <w:r>
              <w:rPr>
                <w:lang w:val="uk-UA"/>
              </w:rPr>
              <w:t>, розв’язання кейсів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B8F052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6E84EFB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7C29E968" w14:textId="77777777" w:rsidTr="007B428E">
        <w:tc>
          <w:tcPr>
            <w:tcW w:w="1023" w:type="dxa"/>
            <w:shd w:val="clear" w:color="auto" w:fill="auto"/>
            <w:vAlign w:val="center"/>
          </w:tcPr>
          <w:p w14:paraId="6D0D6E0F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3 /</w:t>
            </w:r>
          </w:p>
          <w:p w14:paraId="3744392D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55723BF3" w14:textId="3D5E3CFC" w:rsidR="00B96D3B" w:rsidRPr="00D5396C" w:rsidRDefault="00B96D3B" w:rsidP="00B96D3B">
            <w:pPr>
              <w:rPr>
                <w:lang w:val="uk-UA"/>
              </w:rPr>
            </w:pPr>
            <w:r w:rsidRPr="00F32362">
              <w:rPr>
                <w:b/>
                <w:lang w:val="ru-RU" w:eastAsia="ru-RU"/>
              </w:rPr>
              <w:t xml:space="preserve">Тема 2. </w:t>
            </w:r>
            <w:r>
              <w:rPr>
                <w:lang w:val="uk-UA"/>
              </w:rPr>
              <w:t>Міжнародне екологічне право і сталий розвиток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A72C2A1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 xml:space="preserve">Лекція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A15CCD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Презентація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C71F4CC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Передивитися презентацію та рекомендовану літературу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AC90529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CD7C192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D5396C" w14:paraId="6DBF4A6F" w14:textId="77777777" w:rsidTr="007B428E">
        <w:tc>
          <w:tcPr>
            <w:tcW w:w="1023" w:type="dxa"/>
            <w:shd w:val="clear" w:color="auto" w:fill="auto"/>
            <w:vAlign w:val="center"/>
          </w:tcPr>
          <w:p w14:paraId="6EEC4638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4 /</w:t>
            </w:r>
          </w:p>
          <w:p w14:paraId="794ED3E4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00C665BC" w14:textId="6363B132" w:rsidR="00B96D3B" w:rsidRPr="00F32362" w:rsidRDefault="00A5074A" w:rsidP="00B96D3B">
            <w:pPr>
              <w:rPr>
                <w:lang w:val="ru-RU" w:eastAsia="ru-RU"/>
              </w:rPr>
            </w:pPr>
            <w:r w:rsidRPr="00F32362">
              <w:rPr>
                <w:b/>
                <w:lang w:val="ru-RU" w:eastAsia="ru-RU"/>
              </w:rPr>
              <w:t xml:space="preserve">Тема 2. </w:t>
            </w:r>
            <w:r>
              <w:rPr>
                <w:lang w:val="uk-UA"/>
              </w:rPr>
              <w:t>Міжнародне екологічне право і сталий розвиток</w:t>
            </w:r>
          </w:p>
          <w:p w14:paraId="56398C80" w14:textId="77777777" w:rsidR="00B96D3B" w:rsidRPr="00D5396C" w:rsidRDefault="00B96D3B" w:rsidP="007B428E">
            <w:pPr>
              <w:tabs>
                <w:tab w:val="left" w:pos="579"/>
              </w:tabs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8CFF4F9" w14:textId="71426176" w:rsidR="00B96D3B" w:rsidRPr="00D5396C" w:rsidRDefault="00A5074A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Практичне заняття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CF5DE08" w14:textId="0ACDD570" w:rsidR="00B96D3B" w:rsidRPr="00D5396C" w:rsidRDefault="00A5074A" w:rsidP="007B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Есе, дискусія</w:t>
            </w:r>
            <w:r w:rsidRPr="00D5396C">
              <w:rPr>
                <w:lang w:val="uk-UA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F53B032" w14:textId="7DEAF40A" w:rsidR="00B96D3B" w:rsidRPr="00D5396C" w:rsidRDefault="00A5074A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Аналіз міжнародно-правових актів 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9B5F75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BA9D78E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448B898A" w14:textId="77777777" w:rsidTr="007B428E">
        <w:tc>
          <w:tcPr>
            <w:tcW w:w="1023" w:type="dxa"/>
            <w:shd w:val="clear" w:color="auto" w:fill="auto"/>
            <w:vAlign w:val="center"/>
          </w:tcPr>
          <w:p w14:paraId="5E977B3C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5 /</w:t>
            </w:r>
          </w:p>
          <w:p w14:paraId="745F90D3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1143DB4D" w14:textId="46D13825" w:rsidR="00B96D3B" w:rsidRPr="00F32362" w:rsidRDefault="00A5074A" w:rsidP="00A5074A">
            <w:pPr>
              <w:pStyle w:val="a7"/>
              <w:rPr>
                <w:rFonts w:ascii="TimesNewRomanPSMT" w:hAnsi="TimesNewRomanPSMT"/>
                <w:szCs w:val="22"/>
                <w:lang w:val="ru-RU"/>
              </w:rPr>
            </w:pPr>
            <w:r w:rsidRPr="00F32362">
              <w:rPr>
                <w:b/>
                <w:lang w:val="ru-RU" w:eastAsia="ru-RU"/>
              </w:rPr>
              <w:t xml:space="preserve">Тема </w:t>
            </w:r>
            <w:r>
              <w:rPr>
                <w:b/>
                <w:lang w:val="uk-UA" w:eastAsia="ru-RU"/>
              </w:rPr>
              <w:t>3</w:t>
            </w:r>
            <w:r w:rsidRPr="00F32362">
              <w:rPr>
                <w:b/>
                <w:lang w:val="ru-RU" w:eastAsia="ru-RU"/>
              </w:rPr>
              <w:t xml:space="preserve">. </w:t>
            </w:r>
            <w:r w:rsidRPr="000D43B7">
              <w:rPr>
                <w:lang w:val="uk-UA" w:eastAsia="ru-RU"/>
              </w:rPr>
              <w:t>Застосування Європейської конвенції з прав людини для захисту екологічних прав та довкілля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340DB22" w14:textId="3CBE72AE" w:rsidR="00B96D3B" w:rsidRPr="00D5396C" w:rsidRDefault="00A5074A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 xml:space="preserve">Лекція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A23901B" w14:textId="1581E170" w:rsidR="00B96D3B" w:rsidRPr="00D5396C" w:rsidRDefault="00A5074A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Презентація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15C0CE3" w14:textId="1F944946" w:rsidR="00B96D3B" w:rsidRPr="00D5396C" w:rsidRDefault="00D254A5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Передивитися презентацію та рекомендовану літературу 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3673955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A0F35B0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D5396C" w14:paraId="70BD764B" w14:textId="77777777" w:rsidTr="007B428E">
        <w:tc>
          <w:tcPr>
            <w:tcW w:w="1023" w:type="dxa"/>
            <w:shd w:val="clear" w:color="auto" w:fill="auto"/>
            <w:vAlign w:val="center"/>
          </w:tcPr>
          <w:p w14:paraId="38283C7D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6 /</w:t>
            </w:r>
          </w:p>
          <w:p w14:paraId="7AA55A94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3490D16F" w14:textId="0991DE52" w:rsidR="00B96D3B" w:rsidRPr="00D5396C" w:rsidRDefault="00B96D3B" w:rsidP="007B428E">
            <w:pPr>
              <w:rPr>
                <w:b/>
                <w:lang w:val="uk-UA"/>
              </w:rPr>
            </w:pPr>
            <w:r w:rsidRPr="00F32362">
              <w:rPr>
                <w:b/>
                <w:lang w:val="ru-RU" w:eastAsia="ru-RU"/>
              </w:rPr>
              <w:t xml:space="preserve">Тема </w:t>
            </w:r>
            <w:r w:rsidR="000D43B7">
              <w:rPr>
                <w:b/>
                <w:lang w:val="uk-UA" w:eastAsia="ru-RU"/>
              </w:rPr>
              <w:t>3</w:t>
            </w:r>
            <w:r w:rsidRPr="00F32362">
              <w:rPr>
                <w:b/>
                <w:lang w:val="ru-RU" w:eastAsia="ru-RU"/>
              </w:rPr>
              <w:t xml:space="preserve">. </w:t>
            </w:r>
            <w:r w:rsidR="000D43B7" w:rsidRPr="000D43B7">
              <w:rPr>
                <w:lang w:val="uk-UA"/>
              </w:rPr>
              <w:t>Застосування Європейської конвенції з прав людини для захисту екологічних прав та довкілля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2BF57EE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 xml:space="preserve">Практичне заняття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19D1FAC" w14:textId="1775D129" w:rsidR="00B96D3B" w:rsidRPr="00D5396C" w:rsidRDefault="00B96D3B" w:rsidP="007B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Есе, дискусія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3D4FE00" w14:textId="587168EA" w:rsidR="00B96D3B" w:rsidRPr="00D5396C" w:rsidRDefault="00D254A5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Аналіз </w:t>
            </w:r>
            <w:r>
              <w:rPr>
                <w:lang w:val="uk-UA"/>
              </w:rPr>
              <w:t>судової практики ЄСПЛ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210ADD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7AA70FD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5CAAE25D" w14:textId="77777777" w:rsidTr="007B428E">
        <w:tc>
          <w:tcPr>
            <w:tcW w:w="1023" w:type="dxa"/>
            <w:shd w:val="clear" w:color="auto" w:fill="auto"/>
            <w:vAlign w:val="center"/>
          </w:tcPr>
          <w:p w14:paraId="2F701A07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7 /</w:t>
            </w:r>
          </w:p>
          <w:p w14:paraId="7AA33EE7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42BECC97" w14:textId="77777777" w:rsidR="00B42BE8" w:rsidRPr="00F32362" w:rsidRDefault="00B96D3B" w:rsidP="00B42BE8">
            <w:pPr>
              <w:pStyle w:val="a7"/>
              <w:rPr>
                <w:rFonts w:ascii="TimesNewRomanPSMT" w:hAnsi="TimesNewRomanPSMT"/>
                <w:szCs w:val="22"/>
                <w:lang w:val="ru-RU"/>
              </w:rPr>
            </w:pPr>
            <w:r w:rsidRPr="00F32362">
              <w:rPr>
                <w:b/>
                <w:lang w:val="ru-RU" w:eastAsia="ru-RU"/>
              </w:rPr>
              <w:t xml:space="preserve">Тема </w:t>
            </w:r>
            <w:r w:rsidR="00B42BE8">
              <w:rPr>
                <w:b/>
                <w:lang w:val="uk-UA" w:eastAsia="ru-RU"/>
              </w:rPr>
              <w:t>4</w:t>
            </w:r>
            <w:r w:rsidRPr="00F32362">
              <w:rPr>
                <w:b/>
                <w:lang w:val="ru-RU" w:eastAsia="ru-RU"/>
              </w:rPr>
              <w:t xml:space="preserve">. </w:t>
            </w:r>
            <w:r w:rsidR="00B42BE8" w:rsidRPr="00F32362">
              <w:rPr>
                <w:rFonts w:ascii="TimesNewRomanPSMT" w:hAnsi="TimesNewRomanPSMT"/>
                <w:szCs w:val="22"/>
                <w:lang w:val="ru-RU"/>
              </w:rPr>
              <w:t xml:space="preserve">Доступ до екологічної інформації в Україні: </w:t>
            </w:r>
            <w:r w:rsidR="00B42BE8" w:rsidRPr="00F32362">
              <w:rPr>
                <w:rFonts w:ascii="TimesNewRomanPSMT" w:hAnsi="TimesNewRomanPSMT"/>
                <w:szCs w:val="22"/>
                <w:lang w:val="ru-RU"/>
              </w:rPr>
              <w:lastRenderedPageBreak/>
              <w:t xml:space="preserve">теоретичні напрацювання та практичні реалії. </w:t>
            </w:r>
          </w:p>
          <w:p w14:paraId="14978768" w14:textId="2CBB834A" w:rsidR="00B96D3B" w:rsidRPr="00F32362" w:rsidRDefault="00B96D3B" w:rsidP="007B428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4325742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lastRenderedPageBreak/>
              <w:t xml:space="preserve">Лекція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A4A3479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Презентація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BCBFA52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Передивитися презентацію та </w:t>
            </w:r>
            <w:r w:rsidRPr="00D5396C">
              <w:rPr>
                <w:lang w:val="uk-UA"/>
              </w:rPr>
              <w:lastRenderedPageBreak/>
              <w:t>рекомендовану літературу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4EF901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FB34D57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0B758AD1" w14:textId="77777777" w:rsidTr="007B428E">
        <w:tc>
          <w:tcPr>
            <w:tcW w:w="1023" w:type="dxa"/>
            <w:shd w:val="clear" w:color="auto" w:fill="auto"/>
            <w:vAlign w:val="center"/>
          </w:tcPr>
          <w:p w14:paraId="22BAE8DF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lastRenderedPageBreak/>
              <w:t>Тижд. 8 /</w:t>
            </w:r>
          </w:p>
          <w:p w14:paraId="778479BE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407B4806" w14:textId="52F884EC" w:rsidR="00B96D3B" w:rsidRPr="00D5396C" w:rsidRDefault="00B96D3B" w:rsidP="00B42BE8">
            <w:pPr>
              <w:contextualSpacing/>
              <w:jc w:val="both"/>
              <w:rPr>
                <w:b/>
                <w:lang w:val="uk-UA"/>
              </w:rPr>
            </w:pPr>
            <w:r w:rsidRPr="00D5396C">
              <w:rPr>
                <w:b/>
                <w:lang w:eastAsia="ru-RU"/>
              </w:rPr>
              <w:t xml:space="preserve">Тема </w:t>
            </w:r>
            <w:r w:rsidR="00B42BE8">
              <w:rPr>
                <w:b/>
                <w:lang w:val="uk-UA" w:eastAsia="ru-RU"/>
              </w:rPr>
              <w:t>4</w:t>
            </w:r>
            <w:r w:rsidRPr="00D5396C">
              <w:rPr>
                <w:b/>
                <w:lang w:eastAsia="ru-RU"/>
              </w:rPr>
              <w:t xml:space="preserve">. </w:t>
            </w:r>
            <w:r w:rsidR="00B42BE8" w:rsidRPr="001E6350">
              <w:rPr>
                <w:rFonts w:ascii="TimesNewRomanPSMT" w:hAnsi="TimesNewRomanPSMT"/>
                <w:szCs w:val="22"/>
              </w:rPr>
              <w:t>Доступ до екологічної інформації в Україні: теоретичні напрацювання та практичні реалії.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486E578" w14:textId="68F5ABE7" w:rsidR="00B96D3B" w:rsidRPr="00D5396C" w:rsidRDefault="00B42BE8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Практичне заняття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61E1DE2" w14:textId="313BCCDB" w:rsidR="00B96D3B" w:rsidRPr="00D5396C" w:rsidRDefault="00B42BE8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Вирішення практичних завдань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C6D5984" w14:textId="31BCD641" w:rsidR="00B96D3B" w:rsidRPr="00D5396C" w:rsidRDefault="00B42BE8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Аналіз нормативно-правових актів та судової практики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A1004CD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395233D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54AD0605" w14:textId="77777777" w:rsidTr="007B428E">
        <w:tc>
          <w:tcPr>
            <w:tcW w:w="1023" w:type="dxa"/>
            <w:shd w:val="clear" w:color="auto" w:fill="auto"/>
            <w:vAlign w:val="center"/>
          </w:tcPr>
          <w:p w14:paraId="375B3B7C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9 /</w:t>
            </w:r>
          </w:p>
          <w:p w14:paraId="4205C96E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730D6271" w14:textId="21DAE131" w:rsidR="00B96D3B" w:rsidRPr="00B42BE8" w:rsidRDefault="00B96D3B" w:rsidP="00A5074A">
            <w:pPr>
              <w:jc w:val="both"/>
              <w:rPr>
                <w:b/>
                <w:lang w:val="uk-UA"/>
              </w:rPr>
            </w:pPr>
            <w:r w:rsidRPr="00F32362">
              <w:rPr>
                <w:b/>
                <w:lang w:val="ru-RU" w:eastAsia="ru-RU"/>
              </w:rPr>
              <w:t xml:space="preserve">Тема </w:t>
            </w:r>
            <w:r w:rsidR="00B42BE8">
              <w:rPr>
                <w:b/>
                <w:lang w:val="uk-UA" w:eastAsia="ru-RU"/>
              </w:rPr>
              <w:t>5</w:t>
            </w:r>
            <w:r w:rsidRPr="00F32362">
              <w:rPr>
                <w:b/>
                <w:lang w:val="ru-RU" w:eastAsia="ru-RU"/>
              </w:rPr>
              <w:t xml:space="preserve">. </w:t>
            </w:r>
            <w:r w:rsidR="00B42BE8">
              <w:rPr>
                <w:lang w:val="uk-UA"/>
              </w:rPr>
              <w:t>Формування земельної ділянки та безоплатна приватизація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3866EF4" w14:textId="4D93E3B9" w:rsidR="00B96D3B" w:rsidRPr="00D5396C" w:rsidRDefault="00B42BE8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Лекція</w:t>
            </w:r>
            <w:r w:rsidR="00B96D3B" w:rsidRPr="00D5396C">
              <w:rPr>
                <w:b/>
                <w:lang w:val="uk-UA"/>
              </w:rPr>
              <w:t xml:space="preserve"> 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75B61AE" w14:textId="1A152DDA" w:rsidR="00B96D3B" w:rsidRPr="00D5396C" w:rsidRDefault="00B42BE8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Презентація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7BF1E49" w14:textId="0097BDAE" w:rsidR="00B96D3B" w:rsidRPr="00D5396C" w:rsidRDefault="00B42BE8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Передивитися презентацію та рекомендовану літературу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F9BAB4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C7C393F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4D7051C8" w14:textId="77777777" w:rsidTr="007B428E">
        <w:tc>
          <w:tcPr>
            <w:tcW w:w="1023" w:type="dxa"/>
            <w:shd w:val="clear" w:color="auto" w:fill="auto"/>
            <w:vAlign w:val="center"/>
          </w:tcPr>
          <w:p w14:paraId="0CCCC962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10 /</w:t>
            </w:r>
          </w:p>
          <w:p w14:paraId="275666BB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77A1D082" w14:textId="71A9BF6A" w:rsidR="00B96D3B" w:rsidRPr="00D5396C" w:rsidRDefault="00B96D3B" w:rsidP="00B42BE8">
            <w:pPr>
              <w:contextualSpacing/>
              <w:jc w:val="both"/>
              <w:rPr>
                <w:b/>
                <w:lang w:val="uk-UA"/>
              </w:rPr>
            </w:pPr>
            <w:r w:rsidRPr="00F32362">
              <w:rPr>
                <w:b/>
                <w:lang w:val="ru-RU" w:eastAsia="ru-RU"/>
              </w:rPr>
              <w:t xml:space="preserve">Тема </w:t>
            </w:r>
            <w:r w:rsidR="00B42BE8">
              <w:rPr>
                <w:b/>
                <w:lang w:val="uk-UA" w:eastAsia="ru-RU"/>
              </w:rPr>
              <w:t>5</w:t>
            </w:r>
            <w:r w:rsidRPr="00F32362">
              <w:rPr>
                <w:b/>
                <w:lang w:val="ru-RU" w:eastAsia="ru-RU"/>
              </w:rPr>
              <w:t>.</w:t>
            </w:r>
            <w:r w:rsidRPr="00D5396C">
              <w:rPr>
                <w:b/>
                <w:lang w:val="uk-UA" w:eastAsia="ru-RU"/>
              </w:rPr>
              <w:t xml:space="preserve"> </w:t>
            </w:r>
            <w:r w:rsidR="00B42BE8">
              <w:rPr>
                <w:lang w:val="uk-UA"/>
              </w:rPr>
              <w:t>Формування земельної ділянки та безоплатна приватизація</w:t>
            </w:r>
            <w:r w:rsidR="00B42BE8" w:rsidRPr="00D5396C">
              <w:rPr>
                <w:b/>
                <w:lang w:val="uk-UA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5C90FC7" w14:textId="76D5F78D" w:rsidR="00B96D3B" w:rsidRPr="00D5396C" w:rsidRDefault="00B42BE8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Практичне заняття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D6F0535" w14:textId="5886B39C" w:rsidR="00B96D3B" w:rsidRPr="00D5396C" w:rsidRDefault="00B42BE8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Вирішення практичних завдань </w:t>
            </w:r>
            <w:r w:rsidR="00B96D3B" w:rsidRPr="00D5396C">
              <w:rPr>
                <w:lang w:val="uk-UA"/>
              </w:rPr>
              <w:t xml:space="preserve">Презентація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72799C6" w14:textId="4BBC140F" w:rsidR="00B96D3B" w:rsidRPr="00D5396C" w:rsidRDefault="00B42BE8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Аналіз нормативно-правових актів та судової практики 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42FA67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58D011B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57F7EDFC" w14:textId="77777777" w:rsidTr="007B428E">
        <w:tc>
          <w:tcPr>
            <w:tcW w:w="1023" w:type="dxa"/>
            <w:shd w:val="clear" w:color="auto" w:fill="auto"/>
            <w:vAlign w:val="center"/>
          </w:tcPr>
          <w:p w14:paraId="68FE51DA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11 /</w:t>
            </w:r>
          </w:p>
          <w:p w14:paraId="7F96FD1F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5E7981CD" w14:textId="542B4FDD" w:rsidR="00B96D3B" w:rsidRPr="00B42BE8" w:rsidRDefault="00B96D3B" w:rsidP="007B428E">
            <w:pPr>
              <w:rPr>
                <w:lang w:val="uk-UA"/>
              </w:rPr>
            </w:pPr>
            <w:r w:rsidRPr="00F32362">
              <w:rPr>
                <w:b/>
                <w:lang w:val="ru-RU" w:eastAsia="ru-RU"/>
              </w:rPr>
              <w:t xml:space="preserve">Тема </w:t>
            </w:r>
            <w:r w:rsidR="00B42BE8">
              <w:rPr>
                <w:b/>
                <w:lang w:val="uk-UA" w:eastAsia="ru-RU"/>
              </w:rPr>
              <w:t>6</w:t>
            </w:r>
            <w:r w:rsidRPr="00F32362">
              <w:rPr>
                <w:b/>
                <w:lang w:val="ru-RU" w:eastAsia="ru-RU"/>
              </w:rPr>
              <w:t>.</w:t>
            </w:r>
            <w:r w:rsidRPr="00D5396C">
              <w:rPr>
                <w:b/>
                <w:lang w:val="uk-UA" w:eastAsia="ru-RU"/>
              </w:rPr>
              <w:t xml:space="preserve"> </w:t>
            </w:r>
            <w:r w:rsidR="000401D6" w:rsidRPr="000401D6">
              <w:rPr>
                <w:lang w:val="uk-UA"/>
              </w:rPr>
              <w:t xml:space="preserve">Правове регулювання обігу сільськогосподарських земель в </w:t>
            </w:r>
            <w:r w:rsidR="000401D6">
              <w:rPr>
                <w:lang w:val="uk-UA"/>
              </w:rPr>
              <w:t xml:space="preserve">Україні та </w:t>
            </w:r>
            <w:r w:rsidR="000401D6" w:rsidRPr="000401D6">
              <w:rPr>
                <w:lang w:val="uk-UA"/>
              </w:rPr>
              <w:t>країнах ЄС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67572E8" w14:textId="61ED5349" w:rsidR="00B96D3B" w:rsidRPr="00D5396C" w:rsidRDefault="00B42BE8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 xml:space="preserve">Лекція 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2C61B88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Презентація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51ADD96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Передивитися презентацію та рекомендовану літературу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2B3B1A4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2B29481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4756F88D" w14:textId="77777777" w:rsidTr="007B428E">
        <w:tc>
          <w:tcPr>
            <w:tcW w:w="1023" w:type="dxa"/>
            <w:shd w:val="clear" w:color="auto" w:fill="auto"/>
            <w:vAlign w:val="center"/>
          </w:tcPr>
          <w:p w14:paraId="5D71B436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12 /</w:t>
            </w:r>
          </w:p>
          <w:p w14:paraId="6E1B6962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2CA6D8C7" w14:textId="1E385000" w:rsidR="00B96D3B" w:rsidRPr="00D5396C" w:rsidRDefault="00B96D3B" w:rsidP="007B428E">
            <w:pPr>
              <w:rPr>
                <w:b/>
                <w:lang w:val="uk-UA"/>
              </w:rPr>
            </w:pPr>
            <w:r w:rsidRPr="00F32362">
              <w:rPr>
                <w:b/>
                <w:lang w:val="ru-RU" w:eastAsia="ru-RU"/>
              </w:rPr>
              <w:t xml:space="preserve">Тема </w:t>
            </w:r>
            <w:r w:rsidR="00B42BE8">
              <w:rPr>
                <w:b/>
                <w:lang w:val="uk-UA" w:eastAsia="ru-RU"/>
              </w:rPr>
              <w:t>6</w:t>
            </w:r>
            <w:r w:rsidRPr="00F32362">
              <w:rPr>
                <w:b/>
                <w:lang w:val="ru-RU" w:eastAsia="ru-RU"/>
              </w:rPr>
              <w:t>.</w:t>
            </w:r>
            <w:r w:rsidRPr="00D5396C">
              <w:rPr>
                <w:b/>
                <w:lang w:val="uk-UA" w:eastAsia="ru-RU"/>
              </w:rPr>
              <w:t xml:space="preserve"> </w:t>
            </w:r>
            <w:r w:rsidR="000401D6" w:rsidRPr="000401D6">
              <w:rPr>
                <w:lang w:val="uk-UA"/>
              </w:rPr>
              <w:t xml:space="preserve">Правове регулювання обігу сільськогосподарських земель в </w:t>
            </w:r>
            <w:r w:rsidR="000401D6">
              <w:rPr>
                <w:lang w:val="uk-UA"/>
              </w:rPr>
              <w:t xml:space="preserve">Україні та </w:t>
            </w:r>
            <w:r w:rsidR="000401D6" w:rsidRPr="000401D6">
              <w:rPr>
                <w:lang w:val="uk-UA"/>
              </w:rPr>
              <w:t>країнах ЄС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7D70DA8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 xml:space="preserve">Практичне заняття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033A4D3" w14:textId="743276E6" w:rsidR="00B96D3B" w:rsidRPr="00D5396C" w:rsidRDefault="00A5074A" w:rsidP="007B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Есе, дискусія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846EE5F" w14:textId="456992F5" w:rsidR="00B96D3B" w:rsidRPr="00D5396C" w:rsidRDefault="00A5074A" w:rsidP="007B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Аналіз законодавства України та зарубіжних країн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433836F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74619C2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13208CF1" w14:textId="77777777" w:rsidTr="007B428E">
        <w:trPr>
          <w:trHeight w:val="1182"/>
        </w:trPr>
        <w:tc>
          <w:tcPr>
            <w:tcW w:w="102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8A013A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13 /</w:t>
            </w:r>
          </w:p>
          <w:p w14:paraId="3F5DFD44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3114F1" w14:textId="35AFAF85" w:rsidR="00B96D3B" w:rsidRPr="00A5074A" w:rsidRDefault="00B96D3B" w:rsidP="00A5074A">
            <w:pPr>
              <w:rPr>
                <w:b/>
                <w:lang w:val="uk-UA"/>
              </w:rPr>
            </w:pPr>
            <w:r w:rsidRPr="00D5396C">
              <w:rPr>
                <w:b/>
                <w:lang w:eastAsia="ru-RU"/>
              </w:rPr>
              <w:t xml:space="preserve">Тема </w:t>
            </w:r>
            <w:r w:rsidR="00A5074A">
              <w:rPr>
                <w:b/>
                <w:lang w:val="uk-UA" w:eastAsia="ru-RU"/>
              </w:rPr>
              <w:t>7</w:t>
            </w:r>
            <w:r w:rsidRPr="00D5396C">
              <w:rPr>
                <w:b/>
                <w:lang w:eastAsia="ru-RU"/>
              </w:rPr>
              <w:t>.</w:t>
            </w:r>
            <w:r w:rsidRPr="00D5396C">
              <w:rPr>
                <w:b/>
                <w:lang w:val="uk-UA" w:eastAsia="ru-RU"/>
              </w:rPr>
              <w:t xml:space="preserve"> </w:t>
            </w:r>
            <w:r w:rsidR="00F17516">
              <w:rPr>
                <w:lang w:val="uk-UA"/>
              </w:rPr>
              <w:t>Правові о</w:t>
            </w:r>
            <w:r w:rsidR="00A5074A">
              <w:rPr>
                <w:lang w:val="uk-UA"/>
              </w:rPr>
              <w:t xml:space="preserve">снови містобудування </w:t>
            </w:r>
          </w:p>
        </w:tc>
        <w:tc>
          <w:tcPr>
            <w:tcW w:w="13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FD2715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Лекція</w:t>
            </w:r>
          </w:p>
        </w:tc>
        <w:tc>
          <w:tcPr>
            <w:tcW w:w="14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D1400C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Презентація </w:t>
            </w:r>
          </w:p>
        </w:tc>
        <w:tc>
          <w:tcPr>
            <w:tcW w:w="16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92EA05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Передивитися презентацію та рекомендовану літературу</w:t>
            </w:r>
          </w:p>
        </w:tc>
        <w:tc>
          <w:tcPr>
            <w:tcW w:w="8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289D9A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330A56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21DCD28D" w14:textId="77777777" w:rsidTr="007B428E">
        <w:tc>
          <w:tcPr>
            <w:tcW w:w="1023" w:type="dxa"/>
            <w:shd w:val="clear" w:color="auto" w:fill="auto"/>
            <w:vAlign w:val="center"/>
          </w:tcPr>
          <w:p w14:paraId="62CBAB3A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14 /</w:t>
            </w:r>
          </w:p>
          <w:p w14:paraId="3A74BA52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2B1CA4FF" w14:textId="259912CC" w:rsidR="00B96D3B" w:rsidRPr="00D5396C" w:rsidRDefault="00B96D3B" w:rsidP="007B428E">
            <w:pPr>
              <w:rPr>
                <w:b/>
                <w:lang w:val="uk-UA"/>
              </w:rPr>
            </w:pPr>
            <w:r w:rsidRPr="00D5396C">
              <w:rPr>
                <w:b/>
                <w:lang w:eastAsia="ru-RU"/>
              </w:rPr>
              <w:t xml:space="preserve">Тема </w:t>
            </w:r>
            <w:r w:rsidR="00A5074A">
              <w:rPr>
                <w:b/>
                <w:lang w:val="uk-UA" w:eastAsia="ru-RU"/>
              </w:rPr>
              <w:t>7</w:t>
            </w:r>
            <w:r w:rsidRPr="00D5396C">
              <w:rPr>
                <w:b/>
                <w:lang w:eastAsia="ru-RU"/>
              </w:rPr>
              <w:t>.</w:t>
            </w:r>
            <w:r w:rsidRPr="00D5396C">
              <w:rPr>
                <w:b/>
                <w:lang w:val="uk-UA" w:eastAsia="ru-RU"/>
              </w:rPr>
              <w:t xml:space="preserve"> </w:t>
            </w:r>
            <w:r w:rsidR="00B323CD">
              <w:rPr>
                <w:lang w:val="uk-UA"/>
              </w:rPr>
              <w:t>Правові основи</w:t>
            </w:r>
            <w:r w:rsidR="00A5074A">
              <w:rPr>
                <w:lang w:val="uk-UA"/>
              </w:rPr>
              <w:t xml:space="preserve"> містобудування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4F28FE0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 xml:space="preserve">Практичне заняття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886318E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Вирішення кейсів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F2802BA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Аналіз нормативно-правових актів та судової практики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CFD9A39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81251E6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1977CA34" w14:textId="77777777" w:rsidTr="007B428E">
        <w:tc>
          <w:tcPr>
            <w:tcW w:w="1023" w:type="dxa"/>
            <w:shd w:val="clear" w:color="auto" w:fill="auto"/>
            <w:vAlign w:val="center"/>
          </w:tcPr>
          <w:p w14:paraId="2F863793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Тижд. 15 /</w:t>
            </w:r>
          </w:p>
          <w:p w14:paraId="4B0EDFC3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</w:tc>
        <w:tc>
          <w:tcPr>
            <w:tcW w:w="3423" w:type="dxa"/>
            <w:gridSpan w:val="2"/>
            <w:shd w:val="clear" w:color="auto" w:fill="auto"/>
            <w:vAlign w:val="center"/>
          </w:tcPr>
          <w:p w14:paraId="14AB221F" w14:textId="2D2E14FF" w:rsidR="00A5074A" w:rsidRPr="00A5074A" w:rsidRDefault="00B96D3B" w:rsidP="00A5074A">
            <w:pPr>
              <w:rPr>
                <w:bCs/>
              </w:rPr>
            </w:pPr>
            <w:r w:rsidRPr="00D5396C">
              <w:rPr>
                <w:b/>
                <w:lang w:eastAsia="ru-RU"/>
              </w:rPr>
              <w:t xml:space="preserve">Тема </w:t>
            </w:r>
            <w:r w:rsidR="00A5074A">
              <w:rPr>
                <w:b/>
                <w:lang w:val="uk-UA" w:eastAsia="ru-RU"/>
              </w:rPr>
              <w:t>8</w:t>
            </w:r>
            <w:r w:rsidRPr="00D5396C">
              <w:rPr>
                <w:b/>
                <w:lang w:val="uk-UA" w:eastAsia="ru-RU"/>
              </w:rPr>
              <w:t xml:space="preserve">. </w:t>
            </w:r>
            <w:r w:rsidR="00A5074A">
              <w:rPr>
                <w:bCs/>
                <w:lang w:val="uk-UA" w:eastAsia="ru-RU"/>
              </w:rPr>
              <w:t>Містобудівна документація</w:t>
            </w:r>
          </w:p>
          <w:p w14:paraId="73A4B257" w14:textId="6FD850DE" w:rsidR="00B96D3B" w:rsidRPr="00D5396C" w:rsidRDefault="00B96D3B" w:rsidP="00B96D3B">
            <w:pPr>
              <w:pStyle w:val="a5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05A99A9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 xml:space="preserve">Лекція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EC5AB27" w14:textId="40F0F4B4" w:rsidR="00B96D3B" w:rsidRPr="00D5396C" w:rsidRDefault="00A5074A" w:rsidP="007B42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043F14E" w14:textId="7883D267" w:rsidR="00B96D3B" w:rsidRPr="00D5396C" w:rsidRDefault="00A5074A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 xml:space="preserve">Передивитися презентацію та </w:t>
            </w:r>
            <w:r w:rsidRPr="00D5396C">
              <w:rPr>
                <w:lang w:val="uk-UA"/>
              </w:rPr>
              <w:lastRenderedPageBreak/>
              <w:t>рекомендовану літературу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8CF3CF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F722810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2244656A" w14:textId="77777777" w:rsidTr="007B428E">
        <w:trPr>
          <w:trHeight w:val="1139"/>
        </w:trPr>
        <w:tc>
          <w:tcPr>
            <w:tcW w:w="102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94DEF2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lastRenderedPageBreak/>
              <w:t>Тижд. 16 /</w:t>
            </w:r>
          </w:p>
          <w:p w14:paraId="2139AA48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>2 акад. год.</w:t>
            </w:r>
          </w:p>
          <w:p w14:paraId="3C4640C2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2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2F1995" w14:textId="01F60477" w:rsidR="00B96D3B" w:rsidRPr="00D5396C" w:rsidRDefault="00B96D3B" w:rsidP="007B428E">
            <w:pPr>
              <w:rPr>
                <w:b/>
                <w:lang w:val="uk-UA"/>
              </w:rPr>
            </w:pPr>
            <w:r w:rsidRPr="00D5396C">
              <w:rPr>
                <w:b/>
                <w:lang w:eastAsia="ru-RU"/>
              </w:rPr>
              <w:t xml:space="preserve">Тема </w:t>
            </w:r>
            <w:r w:rsidR="00A5074A">
              <w:rPr>
                <w:b/>
                <w:lang w:val="uk-UA" w:eastAsia="ru-RU"/>
              </w:rPr>
              <w:t>8</w:t>
            </w:r>
            <w:r w:rsidRPr="00D5396C">
              <w:rPr>
                <w:b/>
                <w:lang w:val="uk-UA" w:eastAsia="ru-RU"/>
              </w:rPr>
              <w:t xml:space="preserve">. </w:t>
            </w:r>
            <w:r w:rsidR="00A5074A">
              <w:rPr>
                <w:bCs/>
                <w:lang w:val="uk-UA" w:eastAsia="ru-RU"/>
              </w:rPr>
              <w:t>Містобудівна документація</w:t>
            </w:r>
          </w:p>
        </w:tc>
        <w:tc>
          <w:tcPr>
            <w:tcW w:w="13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F5516E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  <w:r w:rsidRPr="00D5396C">
              <w:rPr>
                <w:b/>
                <w:lang w:val="uk-UA"/>
              </w:rPr>
              <w:t xml:space="preserve">Практичне заняття </w:t>
            </w:r>
          </w:p>
        </w:tc>
        <w:tc>
          <w:tcPr>
            <w:tcW w:w="14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41BCCF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Вирішення практичних завдань</w:t>
            </w:r>
          </w:p>
        </w:tc>
        <w:tc>
          <w:tcPr>
            <w:tcW w:w="16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F50E7D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  <w:r w:rsidRPr="00D5396C">
              <w:rPr>
                <w:lang w:val="uk-UA"/>
              </w:rPr>
              <w:t>Аналіз нормативно-правових актів та судової практики</w:t>
            </w:r>
          </w:p>
        </w:tc>
        <w:tc>
          <w:tcPr>
            <w:tcW w:w="8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39C193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C42174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  <w:tr w:rsidR="00B96D3B" w:rsidRPr="00F32362" w14:paraId="351A87C3" w14:textId="77777777" w:rsidTr="007B428E">
        <w:trPr>
          <w:trHeight w:val="216"/>
        </w:trPr>
        <w:tc>
          <w:tcPr>
            <w:tcW w:w="102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5A2B" w14:textId="77777777" w:rsidR="00B96D3B" w:rsidRPr="00D5396C" w:rsidRDefault="00B96D3B" w:rsidP="007B428E">
            <w:pPr>
              <w:rPr>
                <w:b/>
                <w:lang w:val="uk-UA"/>
              </w:rPr>
            </w:pPr>
          </w:p>
        </w:tc>
        <w:tc>
          <w:tcPr>
            <w:tcW w:w="342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6E21C" w14:textId="77777777" w:rsidR="00B96D3B" w:rsidRPr="00D5396C" w:rsidRDefault="00B96D3B" w:rsidP="007B428E">
            <w:pPr>
              <w:jc w:val="both"/>
              <w:rPr>
                <w:lang w:val="uk-UA"/>
              </w:rPr>
            </w:pPr>
          </w:p>
        </w:tc>
        <w:tc>
          <w:tcPr>
            <w:tcW w:w="134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D38BF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6B282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</w:p>
        </w:tc>
        <w:tc>
          <w:tcPr>
            <w:tcW w:w="16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AE4C4" w14:textId="77777777" w:rsidR="00B96D3B" w:rsidRPr="00D5396C" w:rsidRDefault="00B96D3B" w:rsidP="007B428E">
            <w:pPr>
              <w:jc w:val="center"/>
              <w:rPr>
                <w:lang w:val="uk-UA"/>
              </w:rPr>
            </w:pPr>
          </w:p>
        </w:tc>
        <w:tc>
          <w:tcPr>
            <w:tcW w:w="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870E3E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3A2E99" w14:textId="77777777" w:rsidR="00B96D3B" w:rsidRPr="00D5396C" w:rsidRDefault="00B96D3B" w:rsidP="007B428E">
            <w:pPr>
              <w:jc w:val="center"/>
              <w:rPr>
                <w:b/>
                <w:lang w:val="uk-UA"/>
              </w:rPr>
            </w:pPr>
          </w:p>
        </w:tc>
      </w:tr>
    </w:tbl>
    <w:p w14:paraId="35DFC293" w14:textId="77777777" w:rsidR="00B96D3B" w:rsidRPr="00AA6115" w:rsidRDefault="00B96D3B">
      <w:pPr>
        <w:rPr>
          <w:lang w:val="uk-UA"/>
        </w:rPr>
      </w:pPr>
    </w:p>
    <w:sectPr w:rsidR="00B96D3B" w:rsidRPr="00AA6115">
      <w:footerReference w:type="default" r:id="rId9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22BF9" w14:textId="77777777" w:rsidR="000B1577" w:rsidRDefault="000B1577">
      <w:r>
        <w:separator/>
      </w:r>
    </w:p>
  </w:endnote>
  <w:endnote w:type="continuationSeparator" w:id="0">
    <w:p w14:paraId="68D86C3E" w14:textId="77777777" w:rsidR="000B1577" w:rsidRDefault="000B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66F7" w14:textId="77777777" w:rsidR="00505D80" w:rsidRDefault="003A461A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F32362">
      <w:rPr>
        <w:noProof/>
      </w:rPr>
      <w:t>1</w:t>
    </w:r>
    <w:r>
      <w:fldChar w:fldCharType="end"/>
    </w:r>
  </w:p>
  <w:p w14:paraId="5248FF81" w14:textId="77777777" w:rsidR="00505D80" w:rsidRDefault="000B15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ADE92" w14:textId="77777777" w:rsidR="000B1577" w:rsidRDefault="000B1577">
      <w:r>
        <w:separator/>
      </w:r>
    </w:p>
  </w:footnote>
  <w:footnote w:type="continuationSeparator" w:id="0">
    <w:p w14:paraId="00538FB2" w14:textId="77777777" w:rsidR="000B1577" w:rsidRDefault="000B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676"/>
    <w:multiLevelType w:val="hybridMultilevel"/>
    <w:tmpl w:val="CA969BE0"/>
    <w:lvl w:ilvl="0" w:tplc="E012A0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EEB"/>
    <w:multiLevelType w:val="hybridMultilevel"/>
    <w:tmpl w:val="8D78A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4AEF"/>
    <w:multiLevelType w:val="multilevel"/>
    <w:tmpl w:val="8D92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42507"/>
    <w:multiLevelType w:val="multilevel"/>
    <w:tmpl w:val="8D92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C6D90"/>
    <w:multiLevelType w:val="multilevel"/>
    <w:tmpl w:val="8D92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F3CA2"/>
    <w:multiLevelType w:val="hybridMultilevel"/>
    <w:tmpl w:val="C442A482"/>
    <w:lvl w:ilvl="0" w:tplc="AFF26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35"/>
    <w:rsid w:val="00007960"/>
    <w:rsid w:val="000401D6"/>
    <w:rsid w:val="00063F8C"/>
    <w:rsid w:val="000B1577"/>
    <w:rsid w:val="000D43B7"/>
    <w:rsid w:val="001B528F"/>
    <w:rsid w:val="001C38FA"/>
    <w:rsid w:val="001E6350"/>
    <w:rsid w:val="003A461A"/>
    <w:rsid w:val="003E0974"/>
    <w:rsid w:val="003E0E72"/>
    <w:rsid w:val="00486D8F"/>
    <w:rsid w:val="004E7248"/>
    <w:rsid w:val="0061260D"/>
    <w:rsid w:val="006A02C0"/>
    <w:rsid w:val="007240A1"/>
    <w:rsid w:val="00755F5A"/>
    <w:rsid w:val="00757335"/>
    <w:rsid w:val="00776AA6"/>
    <w:rsid w:val="007E7D3A"/>
    <w:rsid w:val="007F79CF"/>
    <w:rsid w:val="008E1996"/>
    <w:rsid w:val="00A5074A"/>
    <w:rsid w:val="00A54D66"/>
    <w:rsid w:val="00AA6115"/>
    <w:rsid w:val="00AC6C52"/>
    <w:rsid w:val="00AF0774"/>
    <w:rsid w:val="00B323CD"/>
    <w:rsid w:val="00B328CF"/>
    <w:rsid w:val="00B42BE8"/>
    <w:rsid w:val="00B75272"/>
    <w:rsid w:val="00B96D3B"/>
    <w:rsid w:val="00BF3AF2"/>
    <w:rsid w:val="00C6102A"/>
    <w:rsid w:val="00C70067"/>
    <w:rsid w:val="00C72957"/>
    <w:rsid w:val="00D254A5"/>
    <w:rsid w:val="00DB606C"/>
    <w:rsid w:val="00E01EBD"/>
    <w:rsid w:val="00E40AF0"/>
    <w:rsid w:val="00E658A3"/>
    <w:rsid w:val="00F17516"/>
    <w:rsid w:val="00F32362"/>
    <w:rsid w:val="00F377BD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712A"/>
  <w15:chartTrackingRefBased/>
  <w15:docId w15:val="{4A1EBAC1-0620-2549-B5D3-F452DC4A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35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7335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757335"/>
    <w:rPr>
      <w:rFonts w:ascii="Times New Roman" w:eastAsia="Times New Roman" w:hAnsi="Times New Roman" w:cs="Times New Roman"/>
      <w:color w:val="000000"/>
      <w:lang w:val="en-US"/>
    </w:rPr>
  </w:style>
  <w:style w:type="paragraph" w:styleId="a5">
    <w:name w:val="List Paragraph"/>
    <w:basedOn w:val="a"/>
    <w:uiPriority w:val="34"/>
    <w:qFormat/>
    <w:rsid w:val="0075733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uiPriority w:val="99"/>
    <w:unhideWhenUsed/>
    <w:rsid w:val="003E0E72"/>
    <w:rPr>
      <w:color w:val="0000FF"/>
      <w:u w:val="single"/>
    </w:rPr>
  </w:style>
  <w:style w:type="paragraph" w:customStyle="1" w:styleId="Bullets2">
    <w:name w:val="Bullets2"/>
    <w:basedOn w:val="a"/>
    <w:rsid w:val="00F377BD"/>
    <w:pPr>
      <w:overflowPunct w:val="0"/>
      <w:autoSpaceDE w:val="0"/>
      <w:autoSpaceDN w:val="0"/>
      <w:adjustRightInd w:val="0"/>
      <w:spacing w:after="20"/>
      <w:ind w:left="397" w:hanging="284"/>
      <w:jc w:val="both"/>
    </w:pPr>
    <w:rPr>
      <w:rFonts w:ascii="Arial" w:hAnsi="Arial"/>
      <w:color w:val="auto"/>
      <w:szCs w:val="20"/>
      <w:lang w:val="uk-UA" w:eastAsia="ru-RU"/>
    </w:rPr>
  </w:style>
  <w:style w:type="character" w:customStyle="1" w:styleId="rvts23">
    <w:name w:val="rvts23"/>
    <w:rsid w:val="00F377BD"/>
  </w:style>
  <w:style w:type="paragraph" w:styleId="a7">
    <w:name w:val="Normal (Web)"/>
    <w:basedOn w:val="a"/>
    <w:uiPriority w:val="99"/>
    <w:unhideWhenUsed/>
    <w:rsid w:val="001E6350"/>
    <w:pPr>
      <w:spacing w:before="100" w:beforeAutospacing="1" w:after="100" w:afterAutospacing="1"/>
    </w:pPr>
    <w:rPr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AC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lnu.edu.ua/department/kafedra-soc-pra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ar.shparyk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11304</Words>
  <Characters>6444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Shparyk</dc:creator>
  <cp:keywords/>
  <dc:description/>
  <cp:lastModifiedBy>lawkaf1</cp:lastModifiedBy>
  <cp:revision>2</cp:revision>
  <dcterms:created xsi:type="dcterms:W3CDTF">2022-01-12T12:17:00Z</dcterms:created>
  <dcterms:modified xsi:type="dcterms:W3CDTF">2022-01-12T12:17:00Z</dcterms:modified>
</cp:coreProperties>
</file>