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4B209" w14:textId="77777777" w:rsidR="009F5027" w:rsidRPr="00CD1E68" w:rsidRDefault="009F5027" w:rsidP="009F5027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D1E68">
        <w:rPr>
          <w:rFonts w:ascii="Times New Roman" w:hAnsi="Times New Roman" w:cs="Times New Roman"/>
          <w:b/>
          <w:caps/>
          <w:sz w:val="24"/>
          <w:szCs w:val="24"/>
        </w:rPr>
        <w:t xml:space="preserve">Силабус </w:t>
      </w:r>
    </w:p>
    <w:p w14:paraId="01673C5B" w14:textId="77777777" w:rsidR="009F5027" w:rsidRPr="00CD1E68" w:rsidRDefault="009F5027" w:rsidP="009F50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E68">
        <w:rPr>
          <w:rFonts w:ascii="Times New Roman" w:hAnsi="Times New Roman" w:cs="Times New Roman"/>
          <w:b/>
          <w:sz w:val="24"/>
          <w:szCs w:val="24"/>
        </w:rPr>
        <w:t xml:space="preserve">спеціального курсу </w:t>
      </w:r>
      <w:r w:rsidRPr="00CD1E68">
        <w:rPr>
          <w:rFonts w:ascii="Times New Roman" w:hAnsi="Times New Roman" w:cs="Times New Roman"/>
          <w:bCs/>
          <w:i/>
          <w:iCs/>
          <w:sz w:val="24"/>
          <w:szCs w:val="24"/>
        </w:rPr>
        <w:t>«Використання спеціальних знань у кримінальному провадженні»</w:t>
      </w:r>
      <w:r w:rsidRPr="00CD1E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71F002D" w14:textId="651212C7" w:rsidR="009F5027" w:rsidRPr="00CD1E68" w:rsidRDefault="009F5027" w:rsidP="009F50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E68">
        <w:rPr>
          <w:rFonts w:ascii="Times New Roman" w:hAnsi="Times New Roman" w:cs="Times New Roman"/>
          <w:b/>
          <w:sz w:val="24"/>
          <w:szCs w:val="24"/>
        </w:rPr>
        <w:t>2021–2022 навчального року</w:t>
      </w:r>
    </w:p>
    <w:p w14:paraId="0B56A753" w14:textId="77777777" w:rsidR="009F5027" w:rsidRPr="00CD1E68" w:rsidRDefault="009F5027" w:rsidP="009F502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173"/>
        <w:gridCol w:w="8729"/>
      </w:tblGrid>
      <w:tr w:rsidR="00CD1E68" w:rsidRPr="00CD1E68" w14:paraId="7F8AFD7E" w14:textId="77777777" w:rsidTr="0072185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DE0FD" w14:textId="77777777" w:rsidR="009F5027" w:rsidRPr="00CD1E68" w:rsidRDefault="009F5027" w:rsidP="00721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E68">
              <w:rPr>
                <w:rFonts w:ascii="Times New Roman" w:hAnsi="Times New Roman" w:cs="Times New Roman"/>
                <w:b/>
                <w:sz w:val="24"/>
                <w:szCs w:val="24"/>
              </w:rPr>
              <w:t>Назва курсу</w:t>
            </w:r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D087A" w14:textId="71AD37EC" w:rsidR="009F5027" w:rsidRPr="00CD1E68" w:rsidRDefault="009F5027" w:rsidP="007218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E68">
              <w:rPr>
                <w:rFonts w:ascii="Times New Roman" w:hAnsi="Times New Roman" w:cs="Times New Roman"/>
                <w:bCs/>
                <w:sz w:val="24"/>
                <w:szCs w:val="24"/>
              </w:rPr>
              <w:t>Використання спеціальних знань у кримінальному провадженні</w:t>
            </w:r>
          </w:p>
        </w:tc>
      </w:tr>
      <w:tr w:rsidR="00CD1E68" w:rsidRPr="00CD1E68" w14:paraId="12416402" w14:textId="77777777" w:rsidTr="0072185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BCE6D" w14:textId="77777777" w:rsidR="009F5027" w:rsidRPr="00CD1E68" w:rsidRDefault="009F5027" w:rsidP="00721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E68">
              <w:rPr>
                <w:rFonts w:ascii="Times New Roman" w:hAnsi="Times New Roman" w:cs="Times New Roman"/>
                <w:b/>
                <w:sz w:val="24"/>
                <w:szCs w:val="24"/>
              </w:rPr>
              <w:t>Адреса викладання курсу</w:t>
            </w:r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AE49E" w14:textId="77777777" w:rsidR="009F5027" w:rsidRPr="00CD1E68" w:rsidRDefault="009F5027" w:rsidP="00721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68">
              <w:rPr>
                <w:rFonts w:ascii="Times New Roman" w:hAnsi="Times New Roman" w:cs="Times New Roman"/>
                <w:sz w:val="24"/>
                <w:szCs w:val="24"/>
              </w:rPr>
              <w:t xml:space="preserve">79000, м. Львів, вул. Січових Стрільців, 14 </w:t>
            </w:r>
          </w:p>
        </w:tc>
      </w:tr>
      <w:tr w:rsidR="00CD1E68" w:rsidRPr="00CD1E68" w14:paraId="190D846A" w14:textId="77777777" w:rsidTr="0072185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655B3" w14:textId="77777777" w:rsidR="009F5027" w:rsidRPr="00CD1E68" w:rsidRDefault="009F5027" w:rsidP="00721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E6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29DFB" w14:textId="77777777" w:rsidR="009F5027" w:rsidRPr="00CD1E68" w:rsidRDefault="009F5027" w:rsidP="0072185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D1E68">
              <w:rPr>
                <w:rFonts w:ascii="Times New Roman" w:hAnsi="Times New Roman" w:cs="Times New Roman"/>
                <w:sz w:val="24"/>
                <w:szCs w:val="24"/>
              </w:rPr>
              <w:t>Юридичний факультет</w:t>
            </w:r>
          </w:p>
          <w:p w14:paraId="51E353AA" w14:textId="77777777" w:rsidR="009F5027" w:rsidRPr="00CD1E68" w:rsidRDefault="009F5027" w:rsidP="00721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Кафедра кримінального процесу і криміналістики</w:t>
            </w:r>
          </w:p>
        </w:tc>
      </w:tr>
      <w:tr w:rsidR="00CD1E68" w:rsidRPr="00CD1E68" w14:paraId="5C9729F2" w14:textId="77777777" w:rsidTr="0072185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DA050" w14:textId="77777777" w:rsidR="009F5027" w:rsidRPr="00CD1E68" w:rsidRDefault="009F5027" w:rsidP="00721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E6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BF3AE" w14:textId="77777777" w:rsidR="009F5027" w:rsidRPr="00CD1E68" w:rsidRDefault="009F5027" w:rsidP="00721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68">
              <w:rPr>
                <w:rFonts w:ascii="Times New Roman" w:hAnsi="Times New Roman" w:cs="Times New Roman"/>
                <w:sz w:val="24"/>
                <w:szCs w:val="24"/>
              </w:rPr>
              <w:t>Галузь знань 08 «Право»</w:t>
            </w:r>
          </w:p>
          <w:p w14:paraId="43603327" w14:textId="77777777" w:rsidR="009F5027" w:rsidRPr="00CD1E68" w:rsidRDefault="009F5027" w:rsidP="00721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68">
              <w:rPr>
                <w:rFonts w:ascii="Times New Roman" w:hAnsi="Times New Roman" w:cs="Times New Roman"/>
                <w:sz w:val="24"/>
                <w:szCs w:val="24"/>
              </w:rPr>
              <w:t>Спеціальність 081 «</w:t>
            </w:r>
            <w:proofErr w:type="spellStart"/>
            <w:r w:rsidRPr="00CD1E68">
              <w:rPr>
                <w:rFonts w:ascii="Times New Roman" w:hAnsi="Times New Roman" w:cs="Times New Roman"/>
                <w:sz w:val="24"/>
                <w:szCs w:val="24"/>
              </w:rPr>
              <w:t>Правo</w:t>
            </w:r>
            <w:proofErr w:type="spellEnd"/>
            <w:r w:rsidRPr="00CD1E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D1E68" w:rsidRPr="00CD1E68" w14:paraId="27A85A66" w14:textId="77777777" w:rsidTr="0072185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10D65" w14:textId="77777777" w:rsidR="009F5027" w:rsidRPr="00CD1E68" w:rsidRDefault="009F5027" w:rsidP="00721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DBA56C" w14:textId="77777777" w:rsidR="009F5027" w:rsidRPr="00CD1E68" w:rsidRDefault="009F5027" w:rsidP="00721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CD1E68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 курсу</w:t>
            </w:r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5EFE2" w14:textId="4CF8E785" w:rsidR="009F5027" w:rsidRPr="00CD1E68" w:rsidRDefault="009F5027" w:rsidP="00721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68">
              <w:rPr>
                <w:rFonts w:ascii="Times New Roman" w:hAnsi="Times New Roman" w:cs="Times New Roman"/>
                <w:b/>
                <w:sz w:val="24"/>
                <w:szCs w:val="24"/>
              </w:rPr>
              <w:t>Калужна Оксана Михайлівна</w:t>
            </w:r>
            <w:r w:rsidRPr="00CD1E6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D1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B08E2A" w14:textId="27C5E7CD" w:rsidR="009F5027" w:rsidRPr="00CD1E68" w:rsidRDefault="009F5027" w:rsidP="00721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68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</w:t>
            </w:r>
            <w:r w:rsidRPr="00CD1E68">
              <w:rPr>
                <w:rFonts w:ascii="Times New Roman" w:hAnsi="Times New Roman" w:cs="Times New Roman"/>
                <w:sz w:val="24"/>
                <w:szCs w:val="24"/>
              </w:rPr>
              <w:t xml:space="preserve">юридичних наук, доцент, </w:t>
            </w:r>
          </w:p>
          <w:p w14:paraId="0C4AABAA" w14:textId="7410412D" w:rsidR="009F5027" w:rsidRPr="00CD1E68" w:rsidRDefault="009F5027" w:rsidP="00721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68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r w:rsidRPr="00CD1E68">
              <w:rPr>
                <w:rFonts w:ascii="Times New Roman" w:hAnsi="Times New Roman" w:cs="Times New Roman"/>
                <w:sz w:val="24"/>
                <w:szCs w:val="24"/>
              </w:rPr>
              <w:t>кафедри кримінального процесу і криміналістики</w:t>
            </w:r>
          </w:p>
        </w:tc>
      </w:tr>
      <w:tr w:rsidR="00CD1E68" w:rsidRPr="00CD1E68" w14:paraId="61A5BBEC" w14:textId="77777777" w:rsidTr="0072185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0B308" w14:textId="77777777" w:rsidR="009F5027" w:rsidRPr="00CD1E68" w:rsidRDefault="009F5027" w:rsidP="00721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CD1E68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 викладача</w:t>
            </w:r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103F3" w14:textId="77777777" w:rsidR="009F5027" w:rsidRPr="00CD1E68" w:rsidRDefault="009F5027" w:rsidP="009F5027">
            <w:pPr>
              <w:pStyle w:val="4"/>
              <w:spacing w:before="0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1E68">
              <w:rPr>
                <w:rStyle w:val="contentline-420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 xml:space="preserve">oksana.kaluzhna@lnu.edu.ua, </w:t>
            </w:r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Kalushna1978@gmail.com</w:t>
            </w:r>
          </w:p>
          <w:p w14:paraId="2CD0CF19" w14:textId="41FD30A9" w:rsidR="009F5027" w:rsidRPr="00CD1E68" w:rsidRDefault="009F5027" w:rsidP="009F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68">
              <w:rPr>
                <w:rFonts w:ascii="Times New Roman" w:hAnsi="Times New Roman" w:cs="Times New Roman"/>
                <w:sz w:val="24"/>
                <w:szCs w:val="24"/>
              </w:rPr>
              <w:t>https://law.lnu.edu.ua/employee/kaluzhna-oksana-myhajlivna</w:t>
            </w:r>
          </w:p>
        </w:tc>
      </w:tr>
      <w:tr w:rsidR="00CD1E68" w:rsidRPr="00CD1E68" w14:paraId="6C606A10" w14:textId="77777777" w:rsidTr="0072185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73A05" w14:textId="77777777" w:rsidR="009F5027" w:rsidRPr="00CD1E68" w:rsidRDefault="009F5027" w:rsidP="00721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E9958E" w14:textId="77777777" w:rsidR="009F5027" w:rsidRPr="00CD1E68" w:rsidRDefault="009F5027" w:rsidP="00721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E68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Консультації по курсу відбуваються</w:t>
            </w:r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B23DA" w14:textId="625F170B" w:rsidR="009F5027" w:rsidRPr="00CD1E68" w:rsidRDefault="009F5027" w:rsidP="00721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68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r w:rsidRPr="00CD1E68">
              <w:rPr>
                <w:rFonts w:ascii="Times New Roman" w:hAnsi="Times New Roman" w:cs="Times New Roman"/>
                <w:sz w:val="24"/>
                <w:szCs w:val="24"/>
              </w:rPr>
              <w:t>вівторка</w:t>
            </w:r>
            <w:r w:rsidRPr="00CD1E68">
              <w:rPr>
                <w:rFonts w:ascii="Times New Roman" w:hAnsi="Times New Roman" w:cs="Times New Roman"/>
                <w:sz w:val="24"/>
                <w:szCs w:val="24"/>
              </w:rPr>
              <w:t xml:space="preserve">, 10:00-12:00 год. (вул. Січових Стрільців, 14, </w:t>
            </w:r>
            <w:proofErr w:type="spellStart"/>
            <w:r w:rsidRPr="00CD1E68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CD1E68">
              <w:rPr>
                <w:rFonts w:ascii="Times New Roman" w:hAnsi="Times New Roman" w:cs="Times New Roman"/>
                <w:sz w:val="24"/>
                <w:szCs w:val="24"/>
              </w:rPr>
              <w:t>. 510).</w:t>
            </w:r>
          </w:p>
          <w:p w14:paraId="513B5609" w14:textId="77777777" w:rsidR="009F5027" w:rsidRPr="00CD1E68" w:rsidRDefault="009F5027" w:rsidP="00721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6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Консультації в день проведення лекційних (практичних) занять відбуваються за попередньою домовленістю. Також можливі он-лайн консультації через </w:t>
            </w:r>
            <w:proofErr w:type="spellStart"/>
            <w:r w:rsidRPr="00CD1E6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CD1E68">
              <w:rPr>
                <w:rFonts w:ascii="Times New Roman" w:hAnsi="Times New Roman" w:cs="Times New Roman"/>
                <w:sz w:val="24"/>
                <w:szCs w:val="24"/>
              </w:rPr>
              <w:t xml:space="preserve"> або подібні ресурси. Для погодження часу он-лайн консультацій слід писати на </w:t>
            </w:r>
            <w:proofErr w:type="spellStart"/>
            <w:r w:rsidRPr="00CD1E68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CD1E68">
              <w:rPr>
                <w:rFonts w:ascii="Times New Roman" w:hAnsi="Times New Roman" w:cs="Times New Roman"/>
                <w:sz w:val="24"/>
                <w:szCs w:val="24"/>
              </w:rPr>
              <w:t xml:space="preserve"> чи електронну пошту викладача.</w:t>
            </w:r>
          </w:p>
        </w:tc>
      </w:tr>
      <w:tr w:rsidR="00CD1E68" w:rsidRPr="00CD1E68" w14:paraId="207BDE17" w14:textId="77777777" w:rsidTr="0072185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DD00" w14:textId="77777777" w:rsidR="009F5027" w:rsidRPr="00CD1E68" w:rsidRDefault="009F5027" w:rsidP="00721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E68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</w:t>
            </w:r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82624" w14:textId="51B2483A" w:rsidR="009F5027" w:rsidRPr="00CD1E68" w:rsidRDefault="009F5027" w:rsidP="00721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68">
              <w:rPr>
                <w:rFonts w:ascii="Times New Roman" w:hAnsi="Times New Roman" w:cs="Times New Roman"/>
                <w:sz w:val="24"/>
                <w:szCs w:val="24"/>
              </w:rPr>
              <w:t>https://law.lnu.edu.ua/course/sudova-ekspertolohiya</w:t>
            </w:r>
          </w:p>
        </w:tc>
      </w:tr>
      <w:tr w:rsidR="00CD1E68" w:rsidRPr="00CD1E68" w14:paraId="7F124575" w14:textId="77777777" w:rsidTr="0072185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3D5DF" w14:textId="77777777" w:rsidR="009F5027" w:rsidRPr="00CD1E68" w:rsidRDefault="009F5027" w:rsidP="00721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E68">
              <w:rPr>
                <w:rFonts w:ascii="Times New Roman" w:hAnsi="Times New Roman" w:cs="Times New Roman"/>
                <w:b/>
                <w:sz w:val="24"/>
                <w:szCs w:val="24"/>
              </w:rPr>
              <w:t>Мова викладання</w:t>
            </w:r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0AAB8" w14:textId="77777777" w:rsidR="009F5027" w:rsidRPr="00CD1E68" w:rsidRDefault="009F5027" w:rsidP="00721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68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</w:tr>
      <w:tr w:rsidR="00CD1E68" w:rsidRPr="00CD1E68" w14:paraId="0A6A60C6" w14:textId="77777777" w:rsidTr="0072185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F9A01" w14:textId="77777777" w:rsidR="009F5027" w:rsidRPr="00CD1E68" w:rsidRDefault="009F5027" w:rsidP="00721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C405FC" w14:textId="77777777" w:rsidR="009F5027" w:rsidRPr="00CD1E68" w:rsidRDefault="009F5027" w:rsidP="00721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266480" w14:textId="77777777" w:rsidR="009F5027" w:rsidRPr="00CD1E68" w:rsidRDefault="009F5027" w:rsidP="00721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Політика </w:t>
            </w:r>
          </w:p>
          <w:p w14:paraId="14EA2EB6" w14:textId="77777777" w:rsidR="009F5027" w:rsidRPr="00CD1E68" w:rsidRDefault="009F5027" w:rsidP="00721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E68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навчальної дисципліни</w:t>
            </w:r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EB609" w14:textId="77777777" w:rsidR="009F5027" w:rsidRPr="00CD1E68" w:rsidRDefault="009F5027" w:rsidP="00721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68">
              <w:rPr>
                <w:rFonts w:ascii="Times New Roman" w:hAnsi="Times New Roman" w:cs="Times New Roman"/>
                <w:bCs/>
                <w:sz w:val="24"/>
                <w:szCs w:val="24"/>
              </w:rPr>
              <w:t>Відвідування занять</w:t>
            </w:r>
            <w:r w:rsidRPr="00CD1E68">
              <w:rPr>
                <w:rFonts w:ascii="Times New Roman" w:hAnsi="Times New Roman" w:cs="Times New Roman"/>
                <w:sz w:val="24"/>
                <w:szCs w:val="24"/>
              </w:rPr>
              <w:t xml:space="preserve"> є важливою складовою навчання. Студенти зобов’язані відвідувати заняття. Пропущені практичні заняття студенти повинні відпрацювати. Студенти зобов’язані дотримуватися визначених строків для виконання усіх видів письмових робіт, передбачених курсом. </w:t>
            </w:r>
            <w:r w:rsidRPr="00CD1E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Користування мобільним телефоном, планшетом чи іншими мобільними пристроями під час заняття в цілях, не пов’язаних з навчанням, забороняється.</w:t>
            </w:r>
          </w:p>
        </w:tc>
      </w:tr>
      <w:tr w:rsidR="00CD1E68" w:rsidRPr="00CD1E68" w14:paraId="6D253732" w14:textId="77777777" w:rsidTr="0072185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F35D1" w14:textId="77777777" w:rsidR="009F5027" w:rsidRPr="00CD1E68" w:rsidRDefault="009F5027" w:rsidP="00721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905B02" w14:textId="77777777" w:rsidR="009F5027" w:rsidRPr="00CD1E68" w:rsidRDefault="009F5027" w:rsidP="00721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002B86" w14:textId="77777777" w:rsidR="009F5027" w:rsidRPr="00CD1E68" w:rsidRDefault="009F5027" w:rsidP="00721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929EAE" w14:textId="77777777" w:rsidR="009F5027" w:rsidRPr="00CD1E68" w:rsidRDefault="009F5027" w:rsidP="00721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DE3B5F" w14:textId="77777777" w:rsidR="009F5027" w:rsidRPr="00CD1E68" w:rsidRDefault="009F5027" w:rsidP="00721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989444" w14:textId="77777777" w:rsidR="009F5027" w:rsidRPr="00CD1E68" w:rsidRDefault="009F5027" w:rsidP="00721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E68">
              <w:rPr>
                <w:rFonts w:ascii="Times New Roman" w:hAnsi="Times New Roman" w:cs="Times New Roman"/>
                <w:b/>
                <w:sz w:val="24"/>
                <w:szCs w:val="24"/>
              </w:rPr>
              <w:t>Вимоги</w:t>
            </w:r>
          </w:p>
          <w:p w14:paraId="557CA5C8" w14:textId="77777777" w:rsidR="009F5027" w:rsidRPr="00CD1E68" w:rsidRDefault="009F5027" w:rsidP="00721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E68">
              <w:rPr>
                <w:rFonts w:ascii="Times New Roman" w:hAnsi="Times New Roman" w:cs="Times New Roman"/>
                <w:b/>
                <w:sz w:val="24"/>
                <w:szCs w:val="24"/>
              </w:rPr>
              <w:t>академічної доброчесності</w:t>
            </w:r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0C286" w14:textId="77777777" w:rsidR="009F5027" w:rsidRPr="00CD1E68" w:rsidRDefault="009F5027" w:rsidP="00721851">
            <w:pPr>
              <w:pStyle w:val="Default"/>
              <w:jc w:val="both"/>
              <w:rPr>
                <w:color w:val="auto"/>
              </w:rPr>
            </w:pPr>
            <w:r w:rsidRPr="00CD1E68">
              <w:rPr>
                <w:color w:val="auto"/>
              </w:rPr>
              <w:t xml:space="preserve">Прослуховуючи цей курс, студенти погоджуються виконувати вимоги принципів академічної доброчесності: </w:t>
            </w:r>
          </w:p>
          <w:p w14:paraId="14635DF5" w14:textId="77777777" w:rsidR="009F5027" w:rsidRPr="00CD1E68" w:rsidRDefault="009F5027" w:rsidP="009F5027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  <w:r w:rsidRPr="00CD1E68">
              <w:rPr>
                <w:color w:val="auto"/>
              </w:rPr>
              <w:t xml:space="preserve">вирішувати завдання самостійно, без допомоги сторонніх осіб; </w:t>
            </w:r>
          </w:p>
          <w:p w14:paraId="43183A39" w14:textId="77777777" w:rsidR="009F5027" w:rsidRPr="00CD1E68" w:rsidRDefault="009F5027" w:rsidP="009F5027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  <w:r w:rsidRPr="00CD1E68">
              <w:rPr>
                <w:color w:val="auto"/>
              </w:rPr>
              <w:t xml:space="preserve">надавати для оцінювання лише результати власної роботи; </w:t>
            </w:r>
          </w:p>
          <w:p w14:paraId="137E7BB8" w14:textId="77777777" w:rsidR="009F5027" w:rsidRPr="00CD1E68" w:rsidRDefault="009F5027" w:rsidP="009F5027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  <w:r w:rsidRPr="00CD1E68">
              <w:rPr>
                <w:color w:val="auto"/>
              </w:rPr>
              <w:t xml:space="preserve">не вдаватися до кроків, що можуть у нечесний спосіб покращити власні результати навчання чи погіршити (покращити) результати інших студентів; </w:t>
            </w:r>
          </w:p>
          <w:p w14:paraId="765D019B" w14:textId="77777777" w:rsidR="009F5027" w:rsidRPr="00CD1E68" w:rsidRDefault="009F5027" w:rsidP="009F5027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  <w:r w:rsidRPr="00CD1E68">
              <w:rPr>
                <w:color w:val="auto"/>
              </w:rPr>
              <w:t>жодним чином не публікувати відповіді на питання, що ставляться в рамках дисципліни;</w:t>
            </w:r>
          </w:p>
          <w:p w14:paraId="69138740" w14:textId="77777777" w:rsidR="009F5027" w:rsidRPr="00CD1E68" w:rsidRDefault="009F5027" w:rsidP="009F5027">
            <w:pPr>
              <w:pStyle w:val="Default"/>
              <w:numPr>
                <w:ilvl w:val="0"/>
                <w:numId w:val="4"/>
              </w:numPr>
              <w:ind w:left="684"/>
              <w:jc w:val="both"/>
              <w:rPr>
                <w:color w:val="auto"/>
              </w:rPr>
            </w:pPr>
            <w:r w:rsidRPr="00CD1E68">
              <w:rPr>
                <w:color w:val="auto"/>
              </w:rPr>
              <w:t xml:space="preserve">роботи студентів мають бути їх оригінальними дослідженнями чи міркуваннями. Відсутність посилань на використані джерела, фальсифікація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CD1E68">
              <w:rPr>
                <w:color w:val="auto"/>
              </w:rPr>
              <w:t>недоброчесності</w:t>
            </w:r>
            <w:proofErr w:type="spellEnd"/>
            <w:r w:rsidRPr="00CD1E68">
              <w:rPr>
                <w:color w:val="auto"/>
              </w:rPr>
              <w:t xml:space="preserve">. Виявлення ознак академічної </w:t>
            </w:r>
            <w:proofErr w:type="spellStart"/>
            <w:r w:rsidRPr="00CD1E68">
              <w:rPr>
                <w:color w:val="auto"/>
              </w:rPr>
              <w:t>недоброчесності</w:t>
            </w:r>
            <w:proofErr w:type="spellEnd"/>
            <w:r w:rsidRPr="00CD1E68">
              <w:rPr>
                <w:color w:val="auto"/>
              </w:rPr>
              <w:t xml:space="preserve"> у письмовій роботі студента є підставою для її </w:t>
            </w:r>
            <w:proofErr w:type="spellStart"/>
            <w:r w:rsidRPr="00CD1E68">
              <w:rPr>
                <w:color w:val="auto"/>
              </w:rPr>
              <w:t>незарахуванння</w:t>
            </w:r>
            <w:proofErr w:type="spellEnd"/>
            <w:r w:rsidRPr="00CD1E68">
              <w:rPr>
                <w:color w:val="auto"/>
              </w:rPr>
              <w:t xml:space="preserve"> викладачем, незалежно від обсягу плагіату чи обману.</w:t>
            </w:r>
          </w:p>
          <w:p w14:paraId="2D388A7A" w14:textId="77777777" w:rsidR="009F5027" w:rsidRPr="00CD1E68" w:rsidRDefault="009F5027" w:rsidP="00721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68">
              <w:rPr>
                <w:rFonts w:ascii="Times New Roman" w:hAnsi="Times New Roman" w:cs="Times New Roman"/>
                <w:sz w:val="24"/>
                <w:szCs w:val="24"/>
              </w:rPr>
              <w:t>Жодні форми порушення академічної доброчесності не толеруються.</w:t>
            </w:r>
          </w:p>
        </w:tc>
      </w:tr>
      <w:tr w:rsidR="00CD1E68" w:rsidRPr="00CD1E68" w14:paraId="19F9446E" w14:textId="77777777" w:rsidTr="0072185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360F1" w14:textId="77777777" w:rsidR="009F5027" w:rsidRPr="00CD1E68" w:rsidRDefault="009F5027" w:rsidP="007218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D6AC70F" w14:textId="77777777" w:rsidR="009F5027" w:rsidRPr="00CD1E68" w:rsidRDefault="009F5027" w:rsidP="007218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4634531" w14:textId="77777777" w:rsidR="009F5027" w:rsidRPr="00CD1E68" w:rsidRDefault="009F5027" w:rsidP="007218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E68">
              <w:rPr>
                <w:rFonts w:ascii="Times New Roman" w:hAnsi="Times New Roman" w:cs="Times New Roman"/>
                <w:b/>
              </w:rPr>
              <w:t>Інформація про курс</w:t>
            </w:r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2523A" w14:textId="58C1BCFA" w:rsidR="009F5027" w:rsidRPr="00CD1E68" w:rsidRDefault="009F5027" w:rsidP="00721851">
            <w:pPr>
              <w:pStyle w:val="Default"/>
              <w:jc w:val="both"/>
              <w:rPr>
                <w:color w:val="auto"/>
              </w:rPr>
            </w:pPr>
            <w:r w:rsidRPr="00CD1E68">
              <w:rPr>
                <w:color w:val="auto"/>
              </w:rPr>
              <w:t>Дисципліна «</w:t>
            </w:r>
            <w:r w:rsidR="00F75F73" w:rsidRPr="00CD1E68">
              <w:rPr>
                <w:color w:val="auto"/>
              </w:rPr>
              <w:t>Використання спеціальних знань у кримінальному провадженні</w:t>
            </w:r>
            <w:r w:rsidRPr="00CD1E68">
              <w:rPr>
                <w:color w:val="auto"/>
              </w:rPr>
              <w:t>» є вибірковою навчальною дисципліною зі спеціальності 081 «</w:t>
            </w:r>
            <w:proofErr w:type="spellStart"/>
            <w:r w:rsidRPr="00CD1E68">
              <w:rPr>
                <w:color w:val="auto"/>
              </w:rPr>
              <w:t>Правo</w:t>
            </w:r>
            <w:proofErr w:type="spellEnd"/>
            <w:r w:rsidRPr="00CD1E68">
              <w:rPr>
                <w:color w:val="auto"/>
              </w:rPr>
              <w:t xml:space="preserve">» для освітньо-професійної програми ОС Магістр, яка викладається студентам п’ятого курсу денної форми навчання в обсязі </w:t>
            </w:r>
            <w:r w:rsidR="00F75F73" w:rsidRPr="00CD1E68">
              <w:rPr>
                <w:color w:val="auto"/>
              </w:rPr>
              <w:t>3</w:t>
            </w:r>
            <w:r w:rsidRPr="00CD1E68">
              <w:rPr>
                <w:color w:val="auto"/>
              </w:rPr>
              <w:t xml:space="preserve"> кредитів (за Європейською Кредитно-Трансферною Системою ECTS).</w:t>
            </w:r>
          </w:p>
        </w:tc>
      </w:tr>
      <w:tr w:rsidR="00CD1E68" w:rsidRPr="00CD1E68" w14:paraId="4D618105" w14:textId="77777777" w:rsidTr="0072185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2DCC6" w14:textId="77777777" w:rsidR="009F5027" w:rsidRPr="00CD1E68" w:rsidRDefault="009F5027" w:rsidP="007218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09C3CDE" w14:textId="77777777" w:rsidR="009F5027" w:rsidRPr="00CD1E68" w:rsidRDefault="009F5027" w:rsidP="007218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4D7FF8B" w14:textId="77777777" w:rsidR="009F5027" w:rsidRPr="00CD1E68" w:rsidRDefault="009F5027" w:rsidP="007218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D734ABD" w14:textId="77777777" w:rsidR="009F5027" w:rsidRPr="00CD1E68" w:rsidRDefault="009F5027" w:rsidP="007218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E68">
              <w:rPr>
                <w:rFonts w:ascii="Times New Roman" w:hAnsi="Times New Roman" w:cs="Times New Roman"/>
                <w:b/>
              </w:rPr>
              <w:t>Коротка анотація курсу</w:t>
            </w:r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72D4C" w14:textId="3A2374E3" w:rsidR="009F5027" w:rsidRPr="00CD1E68" w:rsidRDefault="009F5027" w:rsidP="00721851">
            <w:pPr>
              <w:pStyle w:val="Default"/>
              <w:jc w:val="both"/>
              <w:rPr>
                <w:color w:val="auto"/>
              </w:rPr>
            </w:pPr>
            <w:r w:rsidRPr="00CD1E68">
              <w:rPr>
                <w:color w:val="auto"/>
              </w:rPr>
              <w:t>Дисципліна «</w:t>
            </w:r>
            <w:r w:rsidR="00F75F73" w:rsidRPr="00CD1E68">
              <w:rPr>
                <w:color w:val="auto"/>
              </w:rPr>
              <w:t>Використання спеціальних знань у кримінальному провадженні</w:t>
            </w:r>
            <w:r w:rsidRPr="00CD1E68">
              <w:rPr>
                <w:color w:val="auto"/>
              </w:rPr>
              <w:t>» розроблена так, аби студенти здобули спроможності, потрібні для практичної реалізації норм, що регламентують</w:t>
            </w:r>
            <w:r w:rsidR="00F75F73" w:rsidRPr="00CD1E68">
              <w:rPr>
                <w:color w:val="auto"/>
              </w:rPr>
              <w:t xml:space="preserve"> доказування обставин шляхом залучення спеціальних знань у стадіях досудового розслідування та судового розгляду</w:t>
            </w:r>
            <w:r w:rsidRPr="00CD1E68">
              <w:rPr>
                <w:color w:val="auto"/>
              </w:rPr>
              <w:t xml:space="preserve">. З огляду на це, у курсі розглядаються </w:t>
            </w:r>
            <w:r w:rsidR="00F75F73" w:rsidRPr="00CD1E68">
              <w:rPr>
                <w:color w:val="auto"/>
              </w:rPr>
              <w:t>усі можливі форми використання спеціальних знань, проте головна увага приділена допомозі спеціаліста та залученню судового експерта</w:t>
            </w:r>
            <w:r w:rsidRPr="00CD1E68">
              <w:rPr>
                <w:color w:val="auto"/>
              </w:rPr>
              <w:t>, так і прийом</w:t>
            </w:r>
            <w:r w:rsidR="006D453F" w:rsidRPr="00CD1E68">
              <w:rPr>
                <w:color w:val="auto"/>
              </w:rPr>
              <w:t>ам та</w:t>
            </w:r>
            <w:r w:rsidRPr="00CD1E68">
              <w:rPr>
                <w:color w:val="auto"/>
              </w:rPr>
              <w:t xml:space="preserve"> засоб</w:t>
            </w:r>
            <w:r w:rsidR="006D453F" w:rsidRPr="00CD1E68">
              <w:rPr>
                <w:color w:val="auto"/>
              </w:rPr>
              <w:t>ам</w:t>
            </w:r>
            <w:r w:rsidRPr="00CD1E68">
              <w:rPr>
                <w:color w:val="auto"/>
              </w:rPr>
              <w:t xml:space="preserve">, що забезпечують безпосереднє застосування набутих </w:t>
            </w:r>
            <w:proofErr w:type="spellStart"/>
            <w:r w:rsidRPr="00CD1E68">
              <w:rPr>
                <w:color w:val="auto"/>
              </w:rPr>
              <w:t>компетентностей</w:t>
            </w:r>
            <w:proofErr w:type="spellEnd"/>
            <w:r w:rsidRPr="00CD1E68">
              <w:rPr>
                <w:color w:val="auto"/>
              </w:rPr>
              <w:t>.</w:t>
            </w:r>
          </w:p>
        </w:tc>
      </w:tr>
      <w:tr w:rsidR="00CD1E68" w:rsidRPr="00CD1E68" w14:paraId="3B4FF82E" w14:textId="77777777" w:rsidTr="0072185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F7070" w14:textId="77777777" w:rsidR="009F5027" w:rsidRPr="00CD1E68" w:rsidRDefault="009F5027" w:rsidP="007218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FA9476F" w14:textId="77777777" w:rsidR="009F5027" w:rsidRPr="00CD1E68" w:rsidRDefault="009F5027" w:rsidP="007218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C2669DB" w14:textId="77777777" w:rsidR="009F5027" w:rsidRPr="00CD1E68" w:rsidRDefault="009F5027" w:rsidP="007218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8B7CC33" w14:textId="77777777" w:rsidR="009F5027" w:rsidRPr="00CD1E68" w:rsidRDefault="009F5027" w:rsidP="007218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E21B1F8" w14:textId="77777777" w:rsidR="009F5027" w:rsidRPr="00CD1E68" w:rsidRDefault="009F5027" w:rsidP="007218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DB5513C" w14:textId="77777777" w:rsidR="009F5027" w:rsidRPr="00CD1E68" w:rsidRDefault="009F5027" w:rsidP="007218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FFA31FB" w14:textId="77777777" w:rsidR="009F5027" w:rsidRPr="00CD1E68" w:rsidRDefault="009F5027" w:rsidP="007218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C5C3316" w14:textId="77777777" w:rsidR="009F5027" w:rsidRPr="00CD1E68" w:rsidRDefault="009F5027" w:rsidP="007218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820C914" w14:textId="77777777" w:rsidR="009F5027" w:rsidRPr="00CD1E68" w:rsidRDefault="009F5027" w:rsidP="007218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CCEE84B" w14:textId="77777777" w:rsidR="009F5027" w:rsidRPr="00CD1E68" w:rsidRDefault="009F5027" w:rsidP="007218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8B271E5" w14:textId="77777777" w:rsidR="009F5027" w:rsidRPr="00CD1E68" w:rsidRDefault="009F5027" w:rsidP="007218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E68">
              <w:rPr>
                <w:rFonts w:ascii="Times New Roman" w:hAnsi="Times New Roman" w:cs="Times New Roman"/>
                <w:b/>
              </w:rPr>
              <w:t>Мета та цілі курсу</w:t>
            </w:r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B09BA" w14:textId="17A3A3D4" w:rsidR="00A207EF" w:rsidRPr="00CD1E68" w:rsidRDefault="009F5027" w:rsidP="006E29D3">
            <w:pPr>
              <w:tabs>
                <w:tab w:val="left" w:pos="284"/>
                <w:tab w:val="left" w:pos="567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E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Метою</w:t>
            </w:r>
            <w:r w:rsidRPr="00CD1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1E68">
              <w:rPr>
                <w:rFonts w:ascii="Times New Roman" w:hAnsi="Times New Roman" w:cs="Times New Roman"/>
                <w:sz w:val="24"/>
                <w:szCs w:val="24"/>
              </w:rPr>
              <w:t xml:space="preserve">вивчення </w:t>
            </w:r>
            <w:r w:rsidRPr="00CD1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курсу є: </w:t>
            </w:r>
            <w:r w:rsidRPr="00CD1E68"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</w:t>
            </w:r>
            <w:proofErr w:type="spellStart"/>
            <w:r w:rsidRPr="00CD1E68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CD1E68">
              <w:rPr>
                <w:rFonts w:ascii="Times New Roman" w:hAnsi="Times New Roman" w:cs="Times New Roman"/>
                <w:sz w:val="24"/>
                <w:szCs w:val="24"/>
              </w:rPr>
              <w:t xml:space="preserve">, необхідних </w:t>
            </w:r>
            <w:r w:rsidR="00A207EF" w:rsidRPr="00CD1E68">
              <w:rPr>
                <w:rFonts w:ascii="Times New Roman" w:hAnsi="Times New Roman" w:cs="Times New Roman"/>
                <w:sz w:val="24"/>
                <w:szCs w:val="24"/>
              </w:rPr>
              <w:t xml:space="preserve">для залучення допомоги спеціалістів, експертів </w:t>
            </w:r>
            <w:r w:rsidR="00A207EF" w:rsidRPr="00CD1E68">
              <w:rPr>
                <w:rFonts w:ascii="Times New Roman" w:hAnsi="Times New Roman"/>
                <w:sz w:val="24"/>
                <w:szCs w:val="24"/>
              </w:rPr>
              <w:t>різних спеціальностей під час досудового розслідування та судового провадження; взаємоді</w:t>
            </w:r>
            <w:r w:rsidR="00A207EF" w:rsidRPr="00CD1E68">
              <w:rPr>
                <w:rFonts w:ascii="Times New Roman" w:hAnsi="Times New Roman"/>
                <w:sz w:val="24"/>
                <w:szCs w:val="24"/>
              </w:rPr>
              <w:t>ї</w:t>
            </w:r>
            <w:r w:rsidR="00A207EF" w:rsidRPr="00CD1E68">
              <w:rPr>
                <w:rFonts w:ascii="Times New Roman" w:hAnsi="Times New Roman"/>
                <w:sz w:val="24"/>
                <w:szCs w:val="24"/>
              </w:rPr>
              <w:t xml:space="preserve"> слідчого, сторін, суду з експертними установами та експертами на етапі підготовки та проведення судової експертизи; із загальними правилам оцінки висновків експертів; </w:t>
            </w:r>
            <w:r w:rsidR="00A207EF" w:rsidRPr="00CD1E68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A207EF" w:rsidRPr="00CD1E68">
              <w:rPr>
                <w:rFonts w:ascii="Times New Roman" w:hAnsi="Times New Roman"/>
                <w:sz w:val="24"/>
                <w:szCs w:val="24"/>
              </w:rPr>
              <w:t>підшук</w:t>
            </w:r>
            <w:r w:rsidR="00A207EF" w:rsidRPr="00CD1E68">
              <w:rPr>
                <w:rFonts w:ascii="Times New Roman" w:hAnsi="Times New Roman"/>
                <w:sz w:val="24"/>
                <w:szCs w:val="24"/>
              </w:rPr>
              <w:t>ання судових експертів необхідної спеціальності</w:t>
            </w:r>
            <w:r w:rsidR="00963AB6" w:rsidRPr="00CD1E68">
              <w:rPr>
                <w:rFonts w:ascii="Times New Roman" w:hAnsi="Times New Roman"/>
                <w:sz w:val="24"/>
                <w:szCs w:val="24"/>
              </w:rPr>
              <w:t xml:space="preserve">, аналізу </w:t>
            </w:r>
            <w:r w:rsidR="00A207EF" w:rsidRPr="00CD1E68">
              <w:rPr>
                <w:rFonts w:ascii="Times New Roman" w:hAnsi="Times New Roman"/>
                <w:sz w:val="24"/>
                <w:szCs w:val="24"/>
              </w:rPr>
              <w:t>х</w:t>
            </w:r>
            <w:r w:rsidR="00963AB6" w:rsidRPr="00CD1E68">
              <w:rPr>
                <w:rFonts w:ascii="Times New Roman" w:hAnsi="Times New Roman"/>
                <w:sz w:val="24"/>
                <w:szCs w:val="24"/>
              </w:rPr>
              <w:t>о</w:t>
            </w:r>
            <w:r w:rsidR="00A207EF" w:rsidRPr="00CD1E68">
              <w:rPr>
                <w:rFonts w:ascii="Times New Roman" w:hAnsi="Times New Roman"/>
                <w:sz w:val="24"/>
                <w:szCs w:val="24"/>
              </w:rPr>
              <w:t>д</w:t>
            </w:r>
            <w:r w:rsidR="00963AB6" w:rsidRPr="00CD1E68">
              <w:rPr>
                <w:rFonts w:ascii="Times New Roman" w:hAnsi="Times New Roman"/>
                <w:sz w:val="24"/>
                <w:szCs w:val="24"/>
              </w:rPr>
              <w:t>у</w:t>
            </w:r>
            <w:r w:rsidR="00A207EF" w:rsidRPr="00CD1E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3AB6" w:rsidRPr="00CD1E68">
              <w:rPr>
                <w:rFonts w:ascii="Times New Roman" w:hAnsi="Times New Roman"/>
                <w:sz w:val="24"/>
                <w:szCs w:val="24"/>
              </w:rPr>
              <w:t>та</w:t>
            </w:r>
            <w:r w:rsidR="00A207EF" w:rsidRPr="00CD1E68">
              <w:rPr>
                <w:rFonts w:ascii="Times New Roman" w:hAnsi="Times New Roman"/>
                <w:sz w:val="24"/>
                <w:szCs w:val="24"/>
              </w:rPr>
              <w:t xml:space="preserve"> результат</w:t>
            </w:r>
            <w:r w:rsidR="00963AB6" w:rsidRPr="00CD1E68">
              <w:rPr>
                <w:rFonts w:ascii="Times New Roman" w:hAnsi="Times New Roman"/>
                <w:sz w:val="24"/>
                <w:szCs w:val="24"/>
              </w:rPr>
              <w:t>ів</w:t>
            </w:r>
            <w:r w:rsidR="00A207EF" w:rsidRPr="00CD1E68">
              <w:rPr>
                <w:rFonts w:ascii="Times New Roman" w:hAnsi="Times New Roman"/>
                <w:sz w:val="24"/>
                <w:szCs w:val="24"/>
              </w:rPr>
              <w:t xml:space="preserve"> конкретного експертного дослідження на відповідність </w:t>
            </w:r>
            <w:r w:rsidR="00963AB6" w:rsidRPr="00CD1E68">
              <w:rPr>
                <w:rFonts w:ascii="Times New Roman" w:hAnsi="Times New Roman"/>
                <w:sz w:val="24"/>
                <w:szCs w:val="24"/>
              </w:rPr>
              <w:t>експертній методиці</w:t>
            </w:r>
            <w:r w:rsidR="00A207EF" w:rsidRPr="00CD1E68">
              <w:rPr>
                <w:rFonts w:ascii="Times New Roman" w:hAnsi="Times New Roman"/>
                <w:sz w:val="24"/>
                <w:szCs w:val="24"/>
              </w:rPr>
              <w:t xml:space="preserve"> тощо.</w:t>
            </w:r>
          </w:p>
          <w:p w14:paraId="788E0571" w14:textId="77777777" w:rsidR="009F5027" w:rsidRPr="00CD1E68" w:rsidRDefault="009F5027" w:rsidP="006E29D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D1E68">
              <w:rPr>
                <w:rFonts w:ascii="Times New Roman" w:hAnsi="Times New Roman" w:cs="Times New Roman"/>
                <w:sz w:val="24"/>
                <w:szCs w:val="24"/>
              </w:rPr>
              <w:t xml:space="preserve">          До </w:t>
            </w:r>
            <w:r w:rsidRPr="00CD1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завдань</w:t>
            </w:r>
            <w:r w:rsidRPr="00CD1E68">
              <w:rPr>
                <w:rFonts w:ascii="Times New Roman" w:hAnsi="Times New Roman" w:cs="Times New Roman"/>
                <w:sz w:val="24"/>
                <w:szCs w:val="24"/>
              </w:rPr>
              <w:t xml:space="preserve"> опанування цієї дисципліни належать: </w:t>
            </w:r>
          </w:p>
          <w:p w14:paraId="60D306B4" w14:textId="7A6C65A0" w:rsidR="006E29D3" w:rsidRPr="00CD1E68" w:rsidRDefault="006E29D3" w:rsidP="006E29D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D1E68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поглиблене вивчення </w:t>
            </w:r>
            <w:r w:rsidRPr="00CD1E68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необхідн</w:t>
            </w:r>
            <w:r w:rsidRPr="00CD1E68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ого</w:t>
            </w:r>
            <w:r w:rsidRPr="00CD1E68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 законодавств</w:t>
            </w:r>
            <w:r w:rsidRPr="00CD1E68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а</w:t>
            </w:r>
            <w:r w:rsidRPr="00CD1E68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, </w:t>
            </w:r>
            <w:r w:rsidRPr="00CD1E68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відомчих нормативних актів щодо організації і проведення судових експертиз, організації судово-експертної діяльності в Україні, судово-експертних методик, використання у кримінальному провадженні допомоги спеціаліста, актів ревізій та перевірок;</w:t>
            </w:r>
          </w:p>
          <w:p w14:paraId="4A3FE496" w14:textId="77777777" w:rsidR="006E29D3" w:rsidRPr="00CD1E68" w:rsidRDefault="006E29D3" w:rsidP="006E29D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D1E68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ознайомити студентів із позиціями у науці щодо цих питань;</w:t>
            </w:r>
            <w:r w:rsidRPr="00CD1E68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 прищепити вміння працювати з</w:t>
            </w:r>
            <w:r w:rsidRPr="00CD1E68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і спеціальною літературою</w:t>
            </w:r>
            <w:r w:rsidRPr="00CD1E68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; навчити використовувати ї</w:t>
            </w:r>
            <w:r w:rsidRPr="00CD1E68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ї </w:t>
            </w:r>
            <w:r w:rsidRPr="00CD1E68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при вирішенні конкретних ситуацій (слідчих, судових, експертних) та правових питань; </w:t>
            </w:r>
          </w:p>
          <w:p w14:paraId="49CB0C34" w14:textId="77777777" w:rsidR="006E29D3" w:rsidRPr="00CD1E68" w:rsidRDefault="006E29D3" w:rsidP="006E29D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D1E68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навчити застосовувати теоретичні положення на практиці;</w:t>
            </w:r>
          </w:p>
          <w:p w14:paraId="1F995532" w14:textId="77777777" w:rsidR="006E29D3" w:rsidRPr="00CD1E68" w:rsidRDefault="006E29D3" w:rsidP="006E29D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D1E68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закласти навики складання постанов про залучення експерта та доручення йому проведення основної, додаткової, повторної, комісійної, комплексної судової експертизи в експертній установі та поза </w:t>
            </w:r>
            <w:r w:rsidRPr="00CD1E68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нею</w:t>
            </w:r>
            <w:r w:rsidRPr="00CD1E68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; </w:t>
            </w:r>
          </w:p>
          <w:p w14:paraId="7B8516B9" w14:textId="58661004" w:rsidR="006E29D3" w:rsidRPr="00CD1E68" w:rsidRDefault="006E29D3" w:rsidP="006E29D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D1E68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lastRenderedPageBreak/>
              <w:t>закласти навики процесуального оформлення, упаковування, направлення об’єктів дослідження на експертизу; закласти навики відібрання експериментальних зразків для порівняльного дослідження</w:t>
            </w:r>
            <w:r w:rsidRPr="00CD1E68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;</w:t>
            </w:r>
          </w:p>
          <w:p w14:paraId="72D3347D" w14:textId="77777777" w:rsidR="006E29D3" w:rsidRPr="00CD1E68" w:rsidRDefault="009F5027" w:rsidP="006E29D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поглиблене вивчення актуальних проблем правового регулювання</w:t>
            </w:r>
            <w:r w:rsidR="006E29D3" w:rsidRPr="00CD1E6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використання спеціальних знань у кримінальному провадженні; </w:t>
            </w:r>
          </w:p>
          <w:p w14:paraId="6878C1B4" w14:textId="7C274E8A" w:rsidR="006E29D3" w:rsidRPr="00CD1E68" w:rsidRDefault="006E29D3" w:rsidP="006E29D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виявляти проблеми у слідчій та судовій практиці щодо використання спеціальних знань та формувати й </w:t>
            </w:r>
            <w:proofErr w:type="spellStart"/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обгрунтовувати</w:t>
            </w:r>
            <w:proofErr w:type="spellEnd"/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власну правову позицію щодо їх вирішення; </w:t>
            </w:r>
          </w:p>
          <w:p w14:paraId="50A170E2" w14:textId="4295E62F" w:rsidR="006E29D3" w:rsidRPr="00CD1E68" w:rsidRDefault="006E29D3" w:rsidP="006E29D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дати уявлення про </w:t>
            </w:r>
            <w:r w:rsidR="009F5027" w:rsidRPr="00CD1E6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порівняльно-правовий </w:t>
            </w:r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підхід до організації судово-експертної діяльності та проведення судових експертиз у європейських державах та державах загальної системи права.</w:t>
            </w:r>
          </w:p>
          <w:p w14:paraId="6A60339D" w14:textId="4658FD07" w:rsidR="009F5027" w:rsidRPr="00CD1E68" w:rsidRDefault="009F5027" w:rsidP="006E29D3">
            <w:pPr>
              <w:pStyle w:val="a5"/>
              <w:spacing w:after="0" w:line="240" w:lineRule="auto"/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Дисципліна «</w:t>
            </w:r>
            <w:r w:rsidR="00E41E42" w:rsidRPr="00CD1E6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Використання спеціальних знань у кримінальному провадженні</w:t>
            </w:r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» спрямована на формування таких </w:t>
            </w:r>
            <w:proofErr w:type="spellStart"/>
            <w:r w:rsidRPr="00CD1E6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:</w:t>
            </w:r>
          </w:p>
          <w:p w14:paraId="6B2479B6" w14:textId="032EAFD2" w:rsidR="00E41E42" w:rsidRPr="00CD1E68" w:rsidRDefault="009F5027" w:rsidP="00E41E42">
            <w:pPr>
              <w:numPr>
                <w:ilvl w:val="0"/>
                <w:numId w:val="6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68">
              <w:rPr>
                <w:rFonts w:ascii="Times New Roman" w:hAnsi="Times New Roman" w:cs="Times New Roman"/>
                <w:sz w:val="24"/>
                <w:szCs w:val="24"/>
              </w:rPr>
              <w:t xml:space="preserve">СК6. Здатність обґрунтовувати та мотивувати правові рішення про </w:t>
            </w:r>
            <w:r w:rsidR="00E41E42" w:rsidRPr="00CD1E6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судової експертизи необхідного виду, </w:t>
            </w:r>
            <w:r w:rsidRPr="00CD1E68">
              <w:rPr>
                <w:rFonts w:ascii="Times New Roman" w:hAnsi="Times New Roman" w:cs="Times New Roman"/>
                <w:sz w:val="24"/>
                <w:szCs w:val="24"/>
              </w:rPr>
              <w:t xml:space="preserve">давати розгорнуту юридичну аргументацію правової позиції під час </w:t>
            </w:r>
            <w:r w:rsidR="00E41E42" w:rsidRPr="00CD1E68">
              <w:rPr>
                <w:rFonts w:ascii="Times New Roman" w:hAnsi="Times New Roman" w:cs="Times New Roman"/>
                <w:sz w:val="24"/>
                <w:szCs w:val="24"/>
              </w:rPr>
              <w:t>дослідження висновку експерта у ході судового розгляду, під час апеляційного та касаційного оскарження судових рішень;</w:t>
            </w:r>
          </w:p>
          <w:p w14:paraId="7B746D40" w14:textId="284A1B94" w:rsidR="009F5027" w:rsidRPr="00CD1E68" w:rsidRDefault="009F5027" w:rsidP="006E29D3">
            <w:pPr>
              <w:numPr>
                <w:ilvl w:val="0"/>
                <w:numId w:val="6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СК7. </w:t>
            </w:r>
            <w:proofErr w:type="spellStart"/>
            <w:r w:rsidRPr="00CD1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Здатність</w:t>
            </w:r>
            <w:proofErr w:type="spellEnd"/>
            <w:r w:rsidRPr="00CD1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1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застосовувати</w:t>
            </w:r>
            <w:proofErr w:type="spellEnd"/>
            <w:r w:rsidRPr="00CD1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1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знання</w:t>
            </w:r>
            <w:proofErr w:type="spellEnd"/>
            <w:r w:rsidRPr="00CD1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D1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розуміння</w:t>
            </w:r>
            <w:proofErr w:type="spellEnd"/>
            <w:r w:rsidRPr="00CD1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1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основних</w:t>
            </w:r>
            <w:proofErr w:type="spellEnd"/>
            <w:r w:rsidRPr="00CD1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засад (</w:t>
            </w:r>
            <w:proofErr w:type="spellStart"/>
            <w:r w:rsidRPr="00CD1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принципів</w:t>
            </w:r>
            <w:proofErr w:type="spellEnd"/>
            <w:r w:rsidRPr="00CD1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та процедур </w:t>
            </w:r>
            <w:proofErr w:type="spellStart"/>
            <w:r w:rsidRPr="00CD1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кримінального</w:t>
            </w:r>
            <w:proofErr w:type="spellEnd"/>
            <w:r w:rsidRPr="00CD1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1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судочинства</w:t>
            </w:r>
            <w:proofErr w:type="spellEnd"/>
            <w:r w:rsidRPr="00CD1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CD1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Україні</w:t>
            </w:r>
            <w:proofErr w:type="spellEnd"/>
            <w:r w:rsidRPr="00CD1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1E68">
              <w:rPr>
                <w:rFonts w:ascii="Times New Roman" w:hAnsi="Times New Roman" w:cs="Times New Roman"/>
                <w:sz w:val="24"/>
                <w:szCs w:val="24"/>
              </w:rPr>
              <w:t>під час</w:t>
            </w:r>
            <w:r w:rsidR="00E41E42" w:rsidRPr="00CD1E6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проведення судових експерти, дослідження та оцінки висновку експерта у судовому провадженні;</w:t>
            </w:r>
          </w:p>
          <w:p w14:paraId="247F0715" w14:textId="7EB79F0E" w:rsidR="00E41E42" w:rsidRPr="00CD1E68" w:rsidRDefault="009F5027" w:rsidP="006E29D3">
            <w:pPr>
              <w:numPr>
                <w:ilvl w:val="0"/>
                <w:numId w:val="6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СК11. </w:t>
            </w:r>
            <w:proofErr w:type="spellStart"/>
            <w:r w:rsidRPr="00CD1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Здатність</w:t>
            </w:r>
            <w:proofErr w:type="spellEnd"/>
            <w:r w:rsidRPr="00CD1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критично </w:t>
            </w:r>
            <w:proofErr w:type="spellStart"/>
            <w:r w:rsidRPr="00CD1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оцінювати</w:t>
            </w:r>
            <w:proofErr w:type="spellEnd"/>
            <w:r w:rsidRPr="00CD1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1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ефективність</w:t>
            </w:r>
            <w:proofErr w:type="spellEnd"/>
            <w:r w:rsidRPr="00CD1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1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представництва</w:t>
            </w:r>
            <w:proofErr w:type="spellEnd"/>
            <w:r w:rsidRPr="00CD1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CD1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захисту</w:t>
            </w:r>
            <w:proofErr w:type="spellEnd"/>
            <w:r w:rsidRPr="00CD1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прав, свобод та </w:t>
            </w:r>
            <w:proofErr w:type="spellStart"/>
            <w:r w:rsidRPr="00CD1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інтересів</w:t>
            </w:r>
            <w:proofErr w:type="spellEnd"/>
            <w:r w:rsidRPr="00CD1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1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клієнтів</w:t>
            </w:r>
            <w:proofErr w:type="spellEnd"/>
            <w:r w:rsidRPr="00CD1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1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захисником</w:t>
            </w:r>
            <w:proofErr w:type="spellEnd"/>
            <w:r w:rsidRPr="00CD1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D1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представником</w:t>
            </w:r>
            <w:proofErr w:type="spellEnd"/>
            <w:r w:rsidRPr="00CD1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1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потерпілого</w:t>
            </w:r>
            <w:proofErr w:type="spellEnd"/>
            <w:r w:rsidRPr="00CD1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1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цивільного</w:t>
            </w:r>
            <w:proofErr w:type="spellEnd"/>
            <w:r w:rsidRPr="00CD1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1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позивача</w:t>
            </w:r>
            <w:proofErr w:type="spellEnd"/>
            <w:r w:rsidRPr="00CD1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D1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цивільного</w:t>
            </w:r>
            <w:proofErr w:type="spellEnd"/>
            <w:r w:rsidRPr="00CD1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1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відповідача</w:t>
            </w:r>
            <w:proofErr w:type="spellEnd"/>
            <w:r w:rsidRPr="00CD1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D1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представником</w:t>
            </w:r>
            <w:proofErr w:type="spellEnd"/>
            <w:r w:rsidRPr="00CD1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1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юридичної</w:t>
            </w:r>
            <w:proofErr w:type="spellEnd"/>
            <w:r w:rsidRPr="00CD1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особи, </w:t>
            </w:r>
            <w:proofErr w:type="spellStart"/>
            <w:r w:rsidRPr="00CD1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CD1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1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якої</w:t>
            </w:r>
            <w:proofErr w:type="spellEnd"/>
            <w:r w:rsidRPr="00CD1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1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здійснюється</w:t>
            </w:r>
            <w:proofErr w:type="spellEnd"/>
            <w:r w:rsidRPr="00CD1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1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провадження</w:t>
            </w:r>
            <w:proofErr w:type="spellEnd"/>
            <w:r w:rsidRPr="00CD1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CD1E68">
              <w:rPr>
                <w:rFonts w:ascii="Times New Roman" w:hAnsi="Times New Roman" w:cs="Times New Roman"/>
                <w:sz w:val="24"/>
                <w:szCs w:val="24"/>
              </w:rPr>
              <w:t xml:space="preserve">під час </w:t>
            </w:r>
            <w:r w:rsidR="00E41E42" w:rsidRPr="00CD1E68">
              <w:rPr>
                <w:rFonts w:ascii="Times New Roman" w:hAnsi="Times New Roman" w:cs="Times New Roman"/>
                <w:sz w:val="24"/>
                <w:szCs w:val="24"/>
              </w:rPr>
              <w:t>проведення судових експертиз, отримання, дослідження та оцінки актів перевірок та ревізій, під час використання допомоги спеціаліста у ході інших слідчих та процесуальних дій;</w:t>
            </w:r>
          </w:p>
          <w:p w14:paraId="0399B8B7" w14:textId="417C772D" w:rsidR="009F5027" w:rsidRPr="00CD1E68" w:rsidRDefault="009F5027" w:rsidP="008C7424">
            <w:pPr>
              <w:numPr>
                <w:ilvl w:val="0"/>
                <w:numId w:val="6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СК15. </w:t>
            </w:r>
            <w:proofErr w:type="spellStart"/>
            <w:r w:rsidRPr="00CD1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Здатність</w:t>
            </w:r>
            <w:proofErr w:type="spellEnd"/>
            <w:r w:rsidRPr="00CD1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1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самостійно</w:t>
            </w:r>
            <w:proofErr w:type="spellEnd"/>
            <w:r w:rsidRPr="00CD1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1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готувати</w:t>
            </w:r>
            <w:proofErr w:type="spellEnd"/>
            <w:r w:rsidRPr="00CD1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1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проекти</w:t>
            </w:r>
            <w:proofErr w:type="spellEnd"/>
            <w:r w:rsidRPr="00CD1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1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актів</w:t>
            </w:r>
            <w:proofErr w:type="spellEnd"/>
            <w:r w:rsidRPr="00CD1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1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правозастосування</w:t>
            </w:r>
            <w:proofErr w:type="spellEnd"/>
            <w:r w:rsidRPr="00CD1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D1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зокрема</w:t>
            </w:r>
            <w:proofErr w:type="spellEnd"/>
            <w:r w:rsidRPr="00CD1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C7424" w:rsidRPr="00CD1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постанови про </w:t>
            </w:r>
            <w:proofErr w:type="spellStart"/>
            <w:r w:rsidR="008C7424" w:rsidRPr="00CD1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доручення</w:t>
            </w:r>
            <w:proofErr w:type="spellEnd"/>
            <w:r w:rsidR="008C7424" w:rsidRPr="00CD1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судовому </w:t>
            </w:r>
            <w:proofErr w:type="spellStart"/>
            <w:r w:rsidR="008C7424" w:rsidRPr="00CD1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експерту</w:t>
            </w:r>
            <w:proofErr w:type="spellEnd"/>
            <w:r w:rsidR="008C7424" w:rsidRPr="00CD1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C7424" w:rsidRPr="00CD1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="008C7424" w:rsidRPr="00CD1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C7424" w:rsidRPr="00CD1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судової</w:t>
            </w:r>
            <w:proofErr w:type="spellEnd"/>
            <w:r w:rsidR="008C7424" w:rsidRPr="00CD1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C7424" w:rsidRPr="00CD1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експертизи</w:t>
            </w:r>
            <w:proofErr w:type="spellEnd"/>
            <w:r w:rsidR="008C7424" w:rsidRPr="00CD1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8C7424" w:rsidRPr="00CD1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протоколів</w:t>
            </w:r>
            <w:proofErr w:type="spellEnd"/>
            <w:r w:rsidR="008C7424" w:rsidRPr="00CD1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="008C7424" w:rsidRPr="00CD1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відібрання</w:t>
            </w:r>
            <w:proofErr w:type="spellEnd"/>
            <w:r w:rsidR="008C7424" w:rsidRPr="00CD1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C7424" w:rsidRPr="00CD1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взірців</w:t>
            </w:r>
            <w:proofErr w:type="spellEnd"/>
            <w:r w:rsidR="008C7424" w:rsidRPr="00CD1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="008C7424" w:rsidRPr="00CD1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судової</w:t>
            </w:r>
            <w:proofErr w:type="spellEnd"/>
            <w:r w:rsidR="008C7424" w:rsidRPr="00CD1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C7424" w:rsidRPr="00CD1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експертизи</w:t>
            </w:r>
            <w:proofErr w:type="spellEnd"/>
            <w:r w:rsidRPr="00CD1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D1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враховуючи</w:t>
            </w:r>
            <w:proofErr w:type="spellEnd"/>
            <w:r w:rsidRPr="00CD1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1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вимоги</w:t>
            </w:r>
            <w:proofErr w:type="spellEnd"/>
            <w:r w:rsidRPr="00CD1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1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CD1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1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їх</w:t>
            </w:r>
            <w:proofErr w:type="spellEnd"/>
            <w:r w:rsidRPr="00CD1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1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законності</w:t>
            </w:r>
            <w:proofErr w:type="spellEnd"/>
            <w:r w:rsidRPr="00CD1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D1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обґрунтованості</w:t>
            </w:r>
            <w:proofErr w:type="spellEnd"/>
            <w:r w:rsidRPr="00CD1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D1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вмотивованості</w:t>
            </w:r>
            <w:proofErr w:type="spellEnd"/>
            <w:r w:rsidRPr="00CD1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</w:tr>
      <w:tr w:rsidR="00CD1E68" w:rsidRPr="00CD1E68" w14:paraId="128155BB" w14:textId="77777777" w:rsidTr="0072185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0E34B" w14:textId="77777777" w:rsidR="009F5027" w:rsidRPr="00CD1E68" w:rsidRDefault="009F5027" w:rsidP="00721851">
            <w:pPr>
              <w:jc w:val="center"/>
              <w:rPr>
                <w:b/>
                <w:bCs/>
                <w:lang w:eastAsia="uk-UA"/>
              </w:rPr>
            </w:pPr>
          </w:p>
          <w:p w14:paraId="054C5AEA" w14:textId="77777777" w:rsidR="009F5027" w:rsidRPr="00CD1E68" w:rsidRDefault="009F5027" w:rsidP="00721851">
            <w:pPr>
              <w:jc w:val="center"/>
              <w:rPr>
                <w:b/>
                <w:bCs/>
                <w:lang w:eastAsia="uk-UA"/>
              </w:rPr>
            </w:pPr>
          </w:p>
          <w:p w14:paraId="5D486BFE" w14:textId="77777777" w:rsidR="009F5027" w:rsidRPr="00CD1E68" w:rsidRDefault="009F5027" w:rsidP="00721851">
            <w:pPr>
              <w:jc w:val="center"/>
              <w:rPr>
                <w:b/>
                <w:bCs/>
                <w:lang w:eastAsia="uk-UA"/>
              </w:rPr>
            </w:pPr>
          </w:p>
          <w:p w14:paraId="3E63D6D3" w14:textId="77777777" w:rsidR="009F5027" w:rsidRPr="00CD1E68" w:rsidRDefault="009F5027" w:rsidP="00721851">
            <w:pPr>
              <w:jc w:val="center"/>
              <w:rPr>
                <w:b/>
                <w:bCs/>
                <w:lang w:eastAsia="uk-UA"/>
              </w:rPr>
            </w:pPr>
          </w:p>
          <w:p w14:paraId="1735378B" w14:textId="77777777" w:rsidR="009F5027" w:rsidRPr="00CD1E68" w:rsidRDefault="009F5027" w:rsidP="00721851">
            <w:pPr>
              <w:jc w:val="center"/>
              <w:rPr>
                <w:b/>
                <w:bCs/>
                <w:lang w:eastAsia="uk-UA"/>
              </w:rPr>
            </w:pPr>
          </w:p>
          <w:p w14:paraId="6FA08FA2" w14:textId="77777777" w:rsidR="009F5027" w:rsidRPr="00CD1E68" w:rsidRDefault="009F5027" w:rsidP="00721851">
            <w:pPr>
              <w:jc w:val="center"/>
              <w:rPr>
                <w:b/>
                <w:bCs/>
                <w:lang w:eastAsia="uk-UA"/>
              </w:rPr>
            </w:pPr>
          </w:p>
          <w:p w14:paraId="7DB32645" w14:textId="77777777" w:rsidR="009F5027" w:rsidRPr="00CD1E68" w:rsidRDefault="009F5027" w:rsidP="00721851">
            <w:pPr>
              <w:jc w:val="center"/>
              <w:rPr>
                <w:b/>
                <w:bCs/>
                <w:lang w:eastAsia="uk-UA"/>
              </w:rPr>
            </w:pPr>
          </w:p>
          <w:p w14:paraId="5CD01EF9" w14:textId="77777777" w:rsidR="009F5027" w:rsidRPr="00CD1E68" w:rsidRDefault="009F5027" w:rsidP="00721851">
            <w:pPr>
              <w:jc w:val="center"/>
              <w:rPr>
                <w:b/>
                <w:bCs/>
                <w:lang w:eastAsia="uk-UA"/>
              </w:rPr>
            </w:pPr>
          </w:p>
          <w:p w14:paraId="374124AD" w14:textId="77777777" w:rsidR="009F5027" w:rsidRPr="00CD1E68" w:rsidRDefault="009F5027" w:rsidP="00721851">
            <w:pPr>
              <w:jc w:val="center"/>
              <w:rPr>
                <w:b/>
                <w:bCs/>
                <w:lang w:eastAsia="uk-UA"/>
              </w:rPr>
            </w:pPr>
          </w:p>
          <w:p w14:paraId="5928E21A" w14:textId="77777777" w:rsidR="009F5027" w:rsidRPr="00CD1E68" w:rsidRDefault="009F5027" w:rsidP="00721851">
            <w:pPr>
              <w:jc w:val="center"/>
              <w:rPr>
                <w:b/>
                <w:bCs/>
                <w:lang w:eastAsia="uk-UA"/>
              </w:rPr>
            </w:pPr>
          </w:p>
          <w:p w14:paraId="1076F6CF" w14:textId="77777777" w:rsidR="009F5027" w:rsidRPr="00CD1E68" w:rsidRDefault="009F5027" w:rsidP="00721851">
            <w:pPr>
              <w:jc w:val="center"/>
              <w:rPr>
                <w:b/>
                <w:bCs/>
                <w:lang w:eastAsia="uk-UA"/>
              </w:rPr>
            </w:pPr>
          </w:p>
          <w:p w14:paraId="3EE7243D" w14:textId="77777777" w:rsidR="009F5027" w:rsidRPr="00CD1E68" w:rsidRDefault="009F5027" w:rsidP="007218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E68">
              <w:rPr>
                <w:rFonts w:ascii="Times New Roman" w:hAnsi="Times New Roman" w:cs="Times New Roman"/>
                <w:b/>
                <w:bCs/>
                <w:lang w:eastAsia="uk-UA"/>
              </w:rPr>
              <w:t>Література для вивчення дисципліни</w:t>
            </w:r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6051D" w14:textId="77777777" w:rsidR="009F5027" w:rsidRPr="00CD1E68" w:rsidRDefault="009F5027" w:rsidP="00721851">
            <w:pPr>
              <w:pStyle w:val="a5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uk-UA" w:eastAsia="uk-UA"/>
              </w:rPr>
            </w:pPr>
            <w:r w:rsidRPr="00CD1E6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uk-UA" w:eastAsia="uk-UA"/>
              </w:rPr>
              <w:lastRenderedPageBreak/>
              <w:t>Основна література:</w:t>
            </w:r>
          </w:p>
          <w:p w14:paraId="60397D6F" w14:textId="33119F10" w:rsidR="001027E0" w:rsidRPr="00CD1E68" w:rsidRDefault="001027E0" w:rsidP="00CD1E68">
            <w:pPr>
              <w:pStyle w:val="a5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contextualSpacing w:val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uk-UA"/>
              </w:rPr>
            </w:pPr>
            <w:r w:rsidRPr="00CD1E6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uk-UA"/>
              </w:rPr>
              <w:t>Бараняк В.М., Сибірна Р.І. Судові експертизи: курс лекцій / В.М. Бараняк, Р.І. Сибірна. Львів: Львівський державний університет внутрішніх справ, 2010. 168 с.</w:t>
            </w:r>
          </w:p>
          <w:p w14:paraId="79C8F11D" w14:textId="77777777" w:rsidR="001027E0" w:rsidRPr="00CD1E68" w:rsidRDefault="001027E0" w:rsidP="00CD1E68">
            <w:pPr>
              <w:pStyle w:val="a5"/>
              <w:numPr>
                <w:ilvl w:val="0"/>
                <w:numId w:val="24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D1E68">
              <w:rPr>
                <w:rFonts w:ascii="Times New Roman" w:hAnsi="Times New Roman"/>
                <w:color w:val="auto"/>
                <w:sz w:val="24"/>
                <w:szCs w:val="24"/>
              </w:rPr>
              <w:t>Експертизи в судовій практиці /За заг.ред. В.Г. Гончаренка. – К.:“Юрінком Інтер”,  2010. – 400с.</w:t>
            </w:r>
          </w:p>
          <w:p w14:paraId="2CD6D687" w14:textId="5A10E0A6" w:rsidR="001027E0" w:rsidRPr="00CD1E68" w:rsidRDefault="001027E0" w:rsidP="00CD1E68">
            <w:pPr>
              <w:pStyle w:val="a9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CD1E68">
              <w:rPr>
                <w:sz w:val="24"/>
                <w:szCs w:val="24"/>
              </w:rPr>
              <w:t xml:space="preserve">Клименко Н.І. Судова експертологія: </w:t>
            </w:r>
            <w:r w:rsidRPr="00CD1E68">
              <w:rPr>
                <w:sz w:val="24"/>
                <w:szCs w:val="24"/>
              </w:rPr>
              <w:t>к</w:t>
            </w:r>
            <w:r w:rsidRPr="00CD1E68">
              <w:rPr>
                <w:sz w:val="24"/>
                <w:szCs w:val="24"/>
              </w:rPr>
              <w:t>урс лекцій</w:t>
            </w:r>
            <w:r w:rsidRPr="00CD1E68">
              <w:rPr>
                <w:sz w:val="24"/>
                <w:szCs w:val="24"/>
              </w:rPr>
              <w:t>.</w:t>
            </w:r>
            <w:r w:rsidRPr="00CD1E68">
              <w:rPr>
                <w:sz w:val="24"/>
                <w:szCs w:val="24"/>
              </w:rPr>
              <w:t xml:space="preserve"> К.: Видавничий дім «Ін Юре», 2007. – 528с.</w:t>
            </w:r>
          </w:p>
          <w:p w14:paraId="48F0CF96" w14:textId="7DC1E622" w:rsidR="001027E0" w:rsidRPr="00CD1E68" w:rsidRDefault="001027E0" w:rsidP="00CD1E68">
            <w:pPr>
              <w:pStyle w:val="22"/>
              <w:numPr>
                <w:ilvl w:val="0"/>
                <w:numId w:val="2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CD1E68">
              <w:rPr>
                <w:sz w:val="24"/>
                <w:szCs w:val="24"/>
                <w:lang w:eastAsia="ru-RU" w:bidi="ru-RU"/>
              </w:rPr>
              <w:t>Майлис</w:t>
            </w:r>
            <w:proofErr w:type="spellEnd"/>
            <w:r w:rsidRPr="00CD1E68">
              <w:rPr>
                <w:sz w:val="24"/>
                <w:szCs w:val="24"/>
                <w:lang w:eastAsia="ru-RU" w:bidi="ru-RU"/>
              </w:rPr>
              <w:t xml:space="preserve"> Н. П. </w:t>
            </w:r>
            <w:proofErr w:type="spellStart"/>
            <w:r w:rsidRPr="00CD1E68">
              <w:rPr>
                <w:sz w:val="24"/>
                <w:szCs w:val="24"/>
                <w:lang w:eastAsia="ru-RU" w:bidi="ru-RU"/>
              </w:rPr>
              <w:t>Введение</w:t>
            </w:r>
            <w:proofErr w:type="spellEnd"/>
            <w:r w:rsidRPr="00CD1E68">
              <w:rPr>
                <w:sz w:val="24"/>
                <w:szCs w:val="24"/>
                <w:lang w:eastAsia="ru-RU" w:bidi="ru-RU"/>
              </w:rPr>
              <w:t xml:space="preserve"> в </w:t>
            </w:r>
            <w:proofErr w:type="spellStart"/>
            <w:r w:rsidRPr="00CD1E68">
              <w:rPr>
                <w:sz w:val="24"/>
                <w:szCs w:val="24"/>
                <w:lang w:eastAsia="ru-RU" w:bidi="ru-RU"/>
              </w:rPr>
              <w:t>судебную</w:t>
            </w:r>
            <w:proofErr w:type="spellEnd"/>
            <w:r w:rsidRPr="00CD1E68">
              <w:rPr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CD1E68">
              <w:rPr>
                <w:sz w:val="24"/>
                <w:szCs w:val="24"/>
                <w:lang w:eastAsia="ru-RU" w:bidi="ru-RU"/>
              </w:rPr>
              <w:t>экспертизу</w:t>
            </w:r>
            <w:proofErr w:type="spellEnd"/>
            <w:r w:rsidRPr="00CD1E68">
              <w:rPr>
                <w:sz w:val="24"/>
                <w:szCs w:val="24"/>
                <w:lang w:eastAsia="ru-RU" w:bidi="ru-RU"/>
              </w:rPr>
              <w:t xml:space="preserve"> / Н. П. </w:t>
            </w:r>
            <w:proofErr w:type="spellStart"/>
            <w:r w:rsidRPr="00CD1E68">
              <w:rPr>
                <w:sz w:val="24"/>
                <w:szCs w:val="24"/>
                <w:lang w:eastAsia="ru-RU" w:bidi="ru-RU"/>
              </w:rPr>
              <w:t>Майлис</w:t>
            </w:r>
            <w:proofErr w:type="spellEnd"/>
            <w:r w:rsidRPr="00CD1E68">
              <w:rPr>
                <w:sz w:val="24"/>
                <w:szCs w:val="24"/>
                <w:lang w:eastAsia="ru-RU" w:bidi="ru-RU"/>
              </w:rPr>
              <w:t xml:space="preserve">. - М.: </w:t>
            </w:r>
            <w:proofErr w:type="spellStart"/>
            <w:r w:rsidRPr="00CD1E68">
              <w:rPr>
                <w:sz w:val="24"/>
                <w:szCs w:val="24"/>
                <w:lang w:eastAsia="ru-RU" w:bidi="ru-RU"/>
              </w:rPr>
              <w:t>Юнити</w:t>
            </w:r>
            <w:proofErr w:type="spellEnd"/>
            <w:r w:rsidRPr="00CD1E68">
              <w:rPr>
                <w:sz w:val="24"/>
                <w:szCs w:val="24"/>
                <w:lang w:eastAsia="ru-RU" w:bidi="ru-RU"/>
              </w:rPr>
              <w:t>-Дана, Закон и право, 2011. 160 с.</w:t>
            </w:r>
          </w:p>
          <w:p w14:paraId="15EAC622" w14:textId="78789ECB" w:rsidR="00451AE4" w:rsidRPr="00CD1E68" w:rsidRDefault="00451AE4" w:rsidP="00CD1E68">
            <w:pPr>
              <w:pStyle w:val="1"/>
              <w:numPr>
                <w:ilvl w:val="0"/>
                <w:numId w:val="24"/>
              </w:numPr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5" w:history="1">
              <w:r w:rsidRPr="00CD1E6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Нестор Н.В.</w:t>
              </w:r>
            </w:hyperlink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 </w:t>
            </w:r>
            <w:proofErr w:type="spellStart"/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instrText xml:space="preserve"> HYPERLINK "https://jurkniga.ua/autor/%D0%A0%D1%83%D0%B2%D1%96%D0%BD+%D0%9E.%D0%93./" </w:instrText>
            </w:r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Pr="00CD1E6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>Рувін</w:t>
            </w:r>
            <w:proofErr w:type="spellEnd"/>
            <w:r w:rsidRPr="00CD1E6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 xml:space="preserve"> О.Г.</w:t>
            </w:r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end"/>
            </w:r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Судові експертизи в процесуальному праві України. Навчальний посібник</w:t>
            </w:r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К. Ліра-К. 2019 р. 424 с.</w:t>
            </w:r>
          </w:p>
          <w:p w14:paraId="779757AE" w14:textId="58074162" w:rsidR="00451AE4" w:rsidRPr="00CD1E68" w:rsidRDefault="00451AE4" w:rsidP="00CD1E68">
            <w:pPr>
              <w:pStyle w:val="1"/>
              <w:numPr>
                <w:ilvl w:val="0"/>
                <w:numId w:val="24"/>
              </w:num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hyperlink r:id="rId6" w:history="1">
              <w:proofErr w:type="spellStart"/>
              <w:r w:rsidRPr="00CD1E6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Туркот</w:t>
              </w:r>
              <w:proofErr w:type="spellEnd"/>
              <w:r w:rsidRPr="00CD1E6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М.С.</w:t>
              </w:r>
            </w:hyperlink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 </w:t>
            </w:r>
            <w:hyperlink r:id="rId7" w:history="1">
              <w:r w:rsidRPr="00CD1E6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Нестор Н.В.</w:t>
              </w:r>
            </w:hyperlink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 </w:t>
            </w:r>
            <w:hyperlink r:id="rId8" w:history="1">
              <w:r w:rsidRPr="00CD1E6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Столітній А.В.</w:t>
              </w:r>
            </w:hyperlink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Експертизи у кримінальному провадженні. Науково-практичний посібник</w:t>
            </w:r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К. Норма права. 308 с.</w:t>
            </w:r>
          </w:p>
          <w:p w14:paraId="63193F11" w14:textId="4D8161F2" w:rsidR="001027E0" w:rsidRPr="00CD1E68" w:rsidRDefault="001027E0" w:rsidP="00CD1E68">
            <w:pPr>
              <w:pStyle w:val="a5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contextualSpacing w:val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uk-UA"/>
              </w:rPr>
            </w:pPr>
            <w:r w:rsidRPr="00CD1E6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uk-UA"/>
              </w:rPr>
              <w:t>Сегай М.Я. Судова експертологія: Курс лекцій: Навчальний посібник. К., 2007. — 528 с.</w:t>
            </w:r>
          </w:p>
          <w:p w14:paraId="5A956962" w14:textId="77777777" w:rsidR="001027E0" w:rsidRPr="00CD1E68" w:rsidRDefault="001027E0" w:rsidP="00CD1E68">
            <w:pPr>
              <w:pStyle w:val="a5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contextualSpacing w:val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uk-UA"/>
              </w:rPr>
            </w:pPr>
            <w:r w:rsidRPr="00CD1E6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uk-UA"/>
              </w:rPr>
              <w:lastRenderedPageBreak/>
              <w:t>Сибірна Р.І., Бараняк В.М., Бурий О.А., Пряхін Є.В., Дуфенюк О.М., Безхлібник Р.М., Марко С.І. Судова експертологія у кримінальному судочинстві: Посібник для працівників підрозділів дізнання та досудового слідства органів внутрішніх справ. — Львів: Львівський державний університет внутрішніх справ, 2008. — 88 с.</w:t>
            </w:r>
          </w:p>
          <w:p w14:paraId="2C78654B" w14:textId="77777777" w:rsidR="001027E0" w:rsidRPr="00CD1E68" w:rsidRDefault="001027E0" w:rsidP="00CD1E68">
            <w:pPr>
              <w:pStyle w:val="a5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uk-UA"/>
              </w:rPr>
            </w:pPr>
            <w:r w:rsidRPr="00CD1E68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uk-UA"/>
              </w:rPr>
              <w:t>Щербаковський М. Г.</w:t>
            </w:r>
            <w:r w:rsidRPr="00CD1E6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uk-UA"/>
              </w:rPr>
              <w:t> Призначення та провадження судових експертиз / М. Г. Щербаковський. – Х. : Фактор, 2011. – 400 с. </w:t>
            </w:r>
          </w:p>
          <w:p w14:paraId="07AD74E8" w14:textId="77777777" w:rsidR="001027E0" w:rsidRPr="00CD1E68" w:rsidRDefault="001027E0" w:rsidP="00721851">
            <w:pPr>
              <w:pStyle w:val="a5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uk-UA" w:eastAsia="uk-UA"/>
              </w:rPr>
            </w:pPr>
          </w:p>
          <w:p w14:paraId="075578A3" w14:textId="62AD44C0" w:rsidR="009F5027" w:rsidRPr="00CD1E68" w:rsidRDefault="009F5027" w:rsidP="00721851">
            <w:pPr>
              <w:pStyle w:val="a5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uk-UA" w:eastAsia="uk-UA"/>
              </w:rPr>
            </w:pPr>
            <w:r w:rsidRPr="00CD1E6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uk-UA" w:eastAsia="uk-UA"/>
              </w:rPr>
              <w:t>Додаткова література:</w:t>
            </w:r>
          </w:p>
          <w:p w14:paraId="4EC07694" w14:textId="765684CB" w:rsidR="008A3951" w:rsidRPr="00CD1E68" w:rsidRDefault="008A3951" w:rsidP="00CD1E68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754" w:hanging="357"/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9" w:tooltip="Пошук за автором" w:history="1">
              <w:r w:rsidRPr="00CD1E6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Калужна О. М.</w:t>
              </w:r>
            </w:hyperlink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9F9F9"/>
                <w:lang w:val="uk-UA"/>
              </w:rPr>
              <w:t xml:space="preserve"> </w:t>
            </w:r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Науковий підхід до розуміння відмови експерта від давання висновку</w:t>
            </w:r>
            <w:r w:rsidRPr="00CD1E68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9F9F9"/>
              </w:rPr>
              <w:t> </w:t>
            </w:r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9F9F9"/>
              </w:rPr>
              <w:t>/ О. М. Калужна //</w:t>
            </w:r>
            <w:r w:rsidRPr="00CD1E68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9F9F9"/>
              </w:rPr>
              <w:t> </w:t>
            </w:r>
            <w:hyperlink r:id="rId10" w:tooltip="Періодичне видання" w:history="1">
              <w:r w:rsidRPr="00CD1E6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Теорія та практика судової експертизи і криміналістики</w:t>
              </w:r>
            </w:hyperlink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9F9F9"/>
              </w:rPr>
              <w:t>. 2015. Вип. 15.</w:t>
            </w:r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9F9F9"/>
                <w:lang w:val="uk-UA"/>
              </w:rPr>
              <w:t xml:space="preserve"> С. 189-198.</w:t>
            </w:r>
          </w:p>
          <w:p w14:paraId="4891DAF7" w14:textId="1873FC23" w:rsidR="008A3951" w:rsidRPr="00CD1E68" w:rsidRDefault="008A3951" w:rsidP="00CD1E68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754" w:hanging="357"/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Калужна О.М. Фактичні підстави проведення судової експертизи в кримінальному судочинстві // Науковий вісник Ужгородського національного університету, 2016, Серія ПРАВО. Випуск 36. Том 2. С. 130-137. </w:t>
            </w:r>
          </w:p>
          <w:p w14:paraId="55BEEA5B" w14:textId="4E25BA96" w:rsidR="008A3951" w:rsidRPr="00CD1E68" w:rsidRDefault="008A3951" w:rsidP="00CD1E68">
            <w:pPr>
              <w:pStyle w:val="a5"/>
              <w:numPr>
                <w:ilvl w:val="0"/>
                <w:numId w:val="28"/>
              </w:numPr>
              <w:snapToGrid w:val="0"/>
              <w:spacing w:after="0" w:line="240" w:lineRule="auto"/>
              <w:ind w:left="754" w:hanging="357"/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Калужна О.М. Чи не (за)багато політики, (за)мало права у підходах до передання на вирішення слідчого судді питання про залучення експерта на стадії досудового розслідування? (за Законом № 2147-VIII від 3 жовтня 2017 року) / Калужна О.М. // Право і суспільство. 2018. № 2-2. С. 211-222. </w:t>
            </w:r>
          </w:p>
          <w:p w14:paraId="2C335E88" w14:textId="53D0E816" w:rsidR="001027E0" w:rsidRPr="00CD1E68" w:rsidRDefault="008A3951" w:rsidP="00CD1E68">
            <w:pPr>
              <w:pStyle w:val="a5"/>
              <w:numPr>
                <w:ilvl w:val="0"/>
                <w:numId w:val="28"/>
              </w:numPr>
              <w:snapToGrid w:val="0"/>
              <w:spacing w:after="0" w:line="240" w:lineRule="auto"/>
              <w:ind w:left="754" w:hanging="357"/>
              <w:contextualSpacing w:val="0"/>
              <w:jc w:val="both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</w:pPr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Калужна О.М. Чи не (за)багато політики, (за)мало права у підходах до державної експертної монополії? / Калужна О.М. // Проблеми законності. 2018. № 140. С. 104-120. Режим доступу: </w:t>
            </w:r>
            <w:hyperlink r:id="rId11" w:history="1">
              <w:r w:rsidRPr="00CD1E6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http://plaw.nlu.edu.ua/issue/view/7548</w:t>
              </w:r>
            </w:hyperlink>
          </w:p>
          <w:p w14:paraId="3CB2CE48" w14:textId="0CD58B6B" w:rsidR="008A3951" w:rsidRPr="00CD1E68" w:rsidRDefault="008A3951" w:rsidP="00CD1E68">
            <w:pPr>
              <w:pStyle w:val="a5"/>
              <w:numPr>
                <w:ilvl w:val="0"/>
                <w:numId w:val="28"/>
              </w:numPr>
              <w:tabs>
                <w:tab w:val="left" w:pos="1134"/>
              </w:tabs>
              <w:spacing w:after="0" w:line="240" w:lineRule="auto"/>
              <w:ind w:left="754" w:hanging="357"/>
              <w:contextualSpacing w:val="0"/>
              <w:jc w:val="both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</w:pPr>
            <w:r w:rsidRPr="00CD1E68">
              <w:rPr>
                <w:rFonts w:ascii="Times New Roman" w:hAnsi="Times New Roman"/>
                <w:color w:val="auto"/>
                <w:sz w:val="24"/>
                <w:szCs w:val="24"/>
              </w:rPr>
              <w:t>Калужна О. Співвідношення судової експертизи й участі спеціаліста у судочинстві України / О. Калужна //</w:t>
            </w:r>
            <w:r w:rsidRPr="00CD1E6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Проблеми державотворення і захисту прав людини в Україні : матеріали ХXІІ звітної науково-практичної конференції (4–5 лютого 2016 р.) : у 2 ч. Ч. 2. Львів : Юридичний факультет Львівського національного університету імені Івана Франка, 2016. С. 200</w:t>
            </w:r>
            <w:r w:rsidRPr="00CD1E68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-</w:t>
            </w:r>
            <w:r w:rsidRPr="00CD1E6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207</w:t>
            </w:r>
            <w:r w:rsidRPr="00CD1E68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14:paraId="591C9196" w14:textId="77777777" w:rsidR="008A3951" w:rsidRPr="00CD1E68" w:rsidRDefault="008A3951" w:rsidP="00CD1E68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754" w:hanging="357"/>
              <w:contextualSpacing w:val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D1E68">
              <w:rPr>
                <w:rFonts w:ascii="Times New Roman" w:hAnsi="Times New Roman"/>
                <w:color w:val="auto"/>
                <w:sz w:val="24"/>
                <w:szCs w:val="24"/>
              </w:rPr>
              <w:t>Залучення експерта на досудовому розслідуванні за Законом № 2147-VIII від 03.10.2017 р. : проблеми та недалекоглядність законодавця / Калужна О.М. / Теорія і практика судової експертизи і криміналістики: матеріали Всеукраїнської науково-практичної конференції з нагоди 85-річчя доктора юридичних наук, професора Ніни Іванівни Клименко (м.Київ, 27 лютого 2018 року). Київ-Маріуполь, Центр О.Разумкова, 2018. - С. 121-123.</w:t>
            </w:r>
          </w:p>
          <w:p w14:paraId="38FD9462" w14:textId="672DF5F1" w:rsidR="008A3951" w:rsidRPr="00CD1E68" w:rsidRDefault="008A3951" w:rsidP="00CD1E68">
            <w:pPr>
              <w:pStyle w:val="a5"/>
              <w:numPr>
                <w:ilvl w:val="0"/>
                <w:numId w:val="28"/>
              </w:numPr>
              <w:tabs>
                <w:tab w:val="left" w:pos="1134"/>
              </w:tabs>
              <w:spacing w:after="0" w:line="240" w:lineRule="auto"/>
              <w:ind w:left="754" w:hanging="357"/>
              <w:contextualSpacing w:val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D1E68"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proofErr w:type="spellStart"/>
            <w:r w:rsidRPr="00CD1E68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Carthago</w:t>
            </w:r>
            <w:proofErr w:type="spellEnd"/>
            <w:r w:rsidRPr="00CD1E68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1E68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delenda</w:t>
            </w:r>
            <w:proofErr w:type="spellEnd"/>
            <w:r w:rsidRPr="00CD1E68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1E68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est</w:t>
            </w:r>
            <w:proofErr w:type="spellEnd"/>
            <w:r w:rsidRPr="00CD1E68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- </w:t>
            </w:r>
            <w:r w:rsidRPr="00CD1E68">
              <w:rPr>
                <w:rFonts w:ascii="Times New Roman" w:hAnsi="Times New Roman"/>
                <w:color w:val="auto"/>
                <w:sz w:val="24"/>
                <w:szCs w:val="24"/>
              </w:rPr>
              <w:t>Карфаген має бути зруйновано!» (про державну експертну монополію) / Калужна О.М. // Проблеми державотворення і захисту прав людини в Україні : матеріали ХXІІ звітної науково-практичної конференції (7–8 лютого 2018 р.) : у 2 ч. Ч. 2. – Львів : Юридичний факультет Львівського національного університету імені Івана Франка, 2018.  C. 209 – 215.</w:t>
            </w:r>
          </w:p>
          <w:p w14:paraId="4EFDF275" w14:textId="4EFD25E1" w:rsidR="008A3951" w:rsidRPr="00CD1E68" w:rsidRDefault="008A3951" w:rsidP="00CD1E68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754" w:hanging="357"/>
              <w:contextualSpacing w:val="0"/>
              <w:jc w:val="both"/>
              <w:rPr>
                <w:rStyle w:val="textexposedshow"/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CD1E68">
              <w:rPr>
                <w:rStyle w:val="textexposedshow"/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Калужна О.М., Гайдар В.М. Позасудові експертні дослідження: проблеми і підстави їх проведення // Теорія і практика судової експертизи і криміналістики: матеріали ІІІ-ї Всеукраїнської науково-практичної конференції (м. Київ, 27 лютого 202 р). Київ-Маріуполь, 2020. С. 55-59. </w:t>
            </w:r>
          </w:p>
          <w:p w14:paraId="06C8A1EC" w14:textId="77777777" w:rsidR="008C7424" w:rsidRPr="00CD1E68" w:rsidRDefault="008C7424" w:rsidP="00CD1E68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754" w:hanging="357"/>
              <w:contextualSpacing w:val="0"/>
              <w:rPr>
                <w:rFonts w:asciiTheme="majorBidi" w:hAnsiTheme="majorBidi" w:cstheme="majorBidi"/>
                <w:color w:val="auto"/>
                <w:sz w:val="24"/>
                <w:szCs w:val="24"/>
                <w:lang w:val="en-US"/>
              </w:rPr>
            </w:pPr>
            <w:proofErr w:type="spellStart"/>
            <w:r w:rsidRPr="00CD1E68">
              <w:rPr>
                <w:rFonts w:asciiTheme="majorBidi" w:hAnsiTheme="majorBidi" w:cstheme="majorBidi"/>
                <w:color w:val="auto"/>
                <w:sz w:val="24"/>
                <w:szCs w:val="24"/>
                <w:lang w:val="en-US"/>
              </w:rPr>
              <w:t>Sheperd</w:t>
            </w:r>
            <w:proofErr w:type="spellEnd"/>
            <w:r w:rsidRPr="00CD1E68">
              <w:rPr>
                <w:rFonts w:asciiTheme="majorBidi" w:hAnsiTheme="majorBidi" w:cstheme="majorBidi"/>
                <w:color w:val="auto"/>
                <w:sz w:val="24"/>
                <w:szCs w:val="24"/>
                <w:lang w:val="en-US"/>
              </w:rPr>
              <w:t xml:space="preserve"> R. </w:t>
            </w:r>
            <w:proofErr w:type="spellStart"/>
            <w:r w:rsidRPr="00CD1E68">
              <w:rPr>
                <w:rFonts w:asciiTheme="majorBidi" w:hAnsiTheme="majorBidi" w:cstheme="majorBidi"/>
                <w:color w:val="auto"/>
                <w:sz w:val="24"/>
                <w:szCs w:val="24"/>
                <w:lang w:val="en-US"/>
              </w:rPr>
              <w:t>Neprirodni</w:t>
            </w:r>
            <w:proofErr w:type="spellEnd"/>
            <w:r w:rsidRPr="00CD1E68">
              <w:rPr>
                <w:rFonts w:asciiTheme="majorBidi" w:hAnsiTheme="majorBidi" w:cstheme="majorBidi"/>
                <w:color w:val="auto"/>
                <w:sz w:val="24"/>
                <w:szCs w:val="24"/>
                <w:lang w:val="en-US"/>
              </w:rPr>
              <w:t xml:space="preserve">` </w:t>
            </w:r>
            <w:proofErr w:type="spellStart"/>
            <w:r w:rsidRPr="00CD1E68">
              <w:rPr>
                <w:rFonts w:asciiTheme="majorBidi" w:hAnsiTheme="majorBidi" w:cstheme="majorBidi"/>
                <w:color w:val="auto"/>
                <w:sz w:val="24"/>
                <w:szCs w:val="24"/>
                <w:lang w:val="en-US"/>
              </w:rPr>
              <w:t>vipadki</w:t>
            </w:r>
            <w:proofErr w:type="spellEnd"/>
            <w:r w:rsidRPr="00CD1E68">
              <w:rPr>
                <w:rFonts w:asciiTheme="majorBidi" w:hAnsiTheme="majorBidi" w:cstheme="majorBidi"/>
                <w:color w:val="auto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D1E68">
              <w:rPr>
                <w:rFonts w:asciiTheme="majorBidi" w:hAnsiTheme="majorBidi" w:cstheme="majorBidi"/>
                <w:color w:val="auto"/>
                <w:sz w:val="24"/>
                <w:szCs w:val="24"/>
                <w:lang w:val="en-US"/>
              </w:rPr>
              <w:t>Notatki</w:t>
            </w:r>
            <w:proofErr w:type="spellEnd"/>
            <w:r w:rsidRPr="00CD1E68">
              <w:rPr>
                <w:rFonts w:asciiTheme="majorBidi" w:hAnsiTheme="majorBidi" w:cstheme="majorBidi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1E68">
              <w:rPr>
                <w:rFonts w:asciiTheme="majorBidi" w:hAnsiTheme="majorBidi" w:cstheme="majorBidi"/>
                <w:color w:val="auto"/>
                <w:sz w:val="24"/>
                <w:szCs w:val="24"/>
                <w:lang w:val="en-US"/>
              </w:rPr>
              <w:t>sudmedeksperta</w:t>
            </w:r>
            <w:proofErr w:type="spellEnd"/>
            <w:r w:rsidRPr="00CD1E68">
              <w:rPr>
                <w:rFonts w:asciiTheme="majorBidi" w:hAnsiTheme="majorBidi" w:cstheme="majorBidi"/>
                <w:color w:val="auto"/>
                <w:sz w:val="24"/>
                <w:szCs w:val="24"/>
                <w:lang w:val="en-US"/>
              </w:rPr>
              <w:t xml:space="preserve"> v 34 </w:t>
            </w:r>
            <w:proofErr w:type="spellStart"/>
            <w:r w:rsidRPr="00CD1E68">
              <w:rPr>
                <w:rFonts w:asciiTheme="majorBidi" w:hAnsiTheme="majorBidi" w:cstheme="majorBidi"/>
                <w:color w:val="auto"/>
                <w:sz w:val="24"/>
                <w:szCs w:val="24"/>
                <w:lang w:val="en-US"/>
              </w:rPr>
              <w:t>roztinakh</w:t>
            </w:r>
            <w:proofErr w:type="spellEnd"/>
            <w:r w:rsidRPr="00CD1E68"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 </w:t>
            </w:r>
            <w:r w:rsidRPr="00CD1E68">
              <w:rPr>
                <w:rFonts w:asciiTheme="majorBidi" w:hAnsiTheme="majorBidi" w:cstheme="majorBidi"/>
                <w:color w:val="auto"/>
                <w:sz w:val="24"/>
                <w:szCs w:val="24"/>
                <w:lang w:val="en-US"/>
              </w:rPr>
              <w:t xml:space="preserve">[Unnatural cases. Notes of a forensic pathologist in 34 autopsies]/ Richard </w:t>
            </w:r>
            <w:proofErr w:type="spellStart"/>
            <w:r w:rsidRPr="00CD1E68">
              <w:rPr>
                <w:rFonts w:asciiTheme="majorBidi" w:hAnsiTheme="majorBidi" w:cstheme="majorBidi"/>
                <w:color w:val="auto"/>
                <w:sz w:val="24"/>
                <w:szCs w:val="24"/>
                <w:lang w:val="en-US"/>
              </w:rPr>
              <w:lastRenderedPageBreak/>
              <w:t>Sheperd</w:t>
            </w:r>
            <w:proofErr w:type="spellEnd"/>
            <w:r w:rsidRPr="00CD1E68">
              <w:rPr>
                <w:rFonts w:asciiTheme="majorBidi" w:hAnsiTheme="majorBidi" w:cstheme="majorBidi"/>
                <w:color w:val="auto"/>
                <w:sz w:val="24"/>
                <w:szCs w:val="24"/>
                <w:lang w:val="en-US"/>
              </w:rPr>
              <w:t xml:space="preserve">; per. z </w:t>
            </w:r>
            <w:proofErr w:type="spellStart"/>
            <w:r w:rsidRPr="00CD1E68">
              <w:rPr>
                <w:rFonts w:asciiTheme="majorBidi" w:hAnsiTheme="majorBidi" w:cstheme="majorBidi"/>
                <w:color w:val="auto"/>
                <w:sz w:val="24"/>
                <w:szCs w:val="24"/>
                <w:lang w:val="en-US"/>
              </w:rPr>
              <w:t>angl.</w:t>
            </w:r>
            <w:proofErr w:type="spellEnd"/>
            <w:r w:rsidRPr="00CD1E68">
              <w:rPr>
                <w:rFonts w:asciiTheme="majorBidi" w:hAnsiTheme="majorBidi" w:cstheme="majorBidi"/>
                <w:color w:val="auto"/>
                <w:sz w:val="24"/>
                <w:szCs w:val="24"/>
                <w:lang w:val="en-US"/>
              </w:rPr>
              <w:t xml:space="preserve"> A. </w:t>
            </w:r>
            <w:proofErr w:type="spellStart"/>
            <w:r w:rsidRPr="00CD1E68">
              <w:rPr>
                <w:rFonts w:asciiTheme="majorBidi" w:hAnsiTheme="majorBidi" w:cstheme="majorBidi"/>
                <w:color w:val="auto"/>
                <w:sz w:val="24"/>
                <w:szCs w:val="24"/>
                <w:lang w:val="en-US"/>
              </w:rPr>
              <w:t>Duchenko</w:t>
            </w:r>
            <w:proofErr w:type="spellEnd"/>
            <w:r w:rsidRPr="00CD1E68">
              <w:rPr>
                <w:rFonts w:asciiTheme="majorBidi" w:hAnsiTheme="majorBidi" w:cstheme="majorBidi"/>
                <w:color w:val="auto"/>
                <w:sz w:val="24"/>
                <w:szCs w:val="24"/>
                <w:lang w:val="en-US"/>
              </w:rPr>
              <w:t xml:space="preserve">. – </w:t>
            </w:r>
            <w:proofErr w:type="spellStart"/>
            <w:r w:rsidRPr="00CD1E68">
              <w:rPr>
                <w:rFonts w:asciiTheme="majorBidi" w:hAnsiTheme="majorBidi" w:cstheme="majorBidi"/>
                <w:color w:val="auto"/>
                <w:sz w:val="24"/>
                <w:szCs w:val="24"/>
                <w:lang w:val="en-US"/>
              </w:rPr>
              <w:t>Kiyiv</w:t>
            </w:r>
            <w:proofErr w:type="spellEnd"/>
            <w:r w:rsidRPr="00CD1E68">
              <w:rPr>
                <w:rFonts w:asciiTheme="majorBidi" w:hAnsiTheme="majorBidi" w:cstheme="majorBidi"/>
                <w:color w:val="auto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CD1E68">
              <w:rPr>
                <w:rFonts w:asciiTheme="majorBidi" w:hAnsiTheme="majorBidi" w:cstheme="majorBidi"/>
                <w:color w:val="auto"/>
                <w:sz w:val="24"/>
                <w:szCs w:val="24"/>
                <w:lang w:val="en-US"/>
              </w:rPr>
              <w:t>Fors</w:t>
            </w:r>
            <w:proofErr w:type="spellEnd"/>
            <w:r w:rsidRPr="00CD1E68">
              <w:rPr>
                <w:rFonts w:asciiTheme="majorBidi" w:hAnsiTheme="majorBidi" w:cstheme="majorBidi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1E68">
              <w:rPr>
                <w:rFonts w:asciiTheme="majorBidi" w:hAnsiTheme="majorBidi" w:cstheme="majorBidi"/>
                <w:color w:val="auto"/>
                <w:sz w:val="24"/>
                <w:szCs w:val="24"/>
                <w:lang w:val="en-US"/>
              </w:rPr>
              <w:t>Ukrayina</w:t>
            </w:r>
            <w:proofErr w:type="spellEnd"/>
            <w:r w:rsidRPr="00CD1E68">
              <w:rPr>
                <w:rFonts w:asciiTheme="majorBidi" w:hAnsiTheme="majorBidi" w:cstheme="majorBidi"/>
                <w:color w:val="auto"/>
                <w:sz w:val="24"/>
                <w:szCs w:val="24"/>
                <w:lang w:val="en-US"/>
              </w:rPr>
              <w:t xml:space="preserve">, 2020.- </w:t>
            </w:r>
            <w:proofErr w:type="spellStart"/>
            <w:r w:rsidRPr="00CD1E68">
              <w:rPr>
                <w:rFonts w:asciiTheme="majorBidi" w:hAnsiTheme="majorBidi" w:cstheme="majorBidi"/>
                <w:color w:val="auto"/>
                <w:sz w:val="24"/>
                <w:szCs w:val="24"/>
                <w:lang w:val="en-US"/>
              </w:rPr>
              <w:t>st.</w:t>
            </w:r>
            <w:proofErr w:type="spellEnd"/>
            <w:r w:rsidRPr="00CD1E68">
              <w:rPr>
                <w:rFonts w:asciiTheme="majorBidi" w:hAnsiTheme="majorBidi" w:cstheme="majorBidi"/>
                <w:color w:val="auto"/>
                <w:sz w:val="24"/>
                <w:szCs w:val="24"/>
                <w:lang w:val="en-US"/>
              </w:rPr>
              <w:t xml:space="preserve"> 134- 141.</w:t>
            </w:r>
            <w:r w:rsidRPr="00CD1E68">
              <w:rPr>
                <w:color w:val="auto"/>
                <w:sz w:val="24"/>
                <w:szCs w:val="24"/>
              </w:rPr>
              <w:t xml:space="preserve"> </w:t>
            </w:r>
            <w:r w:rsidRPr="00CD1E68">
              <w:rPr>
                <w:rFonts w:asciiTheme="majorBidi" w:hAnsiTheme="majorBidi" w:cstheme="majorBidi"/>
                <w:color w:val="auto"/>
                <w:sz w:val="24"/>
                <w:szCs w:val="24"/>
                <w:lang w:val="en-US"/>
              </w:rPr>
              <w:t>(in Ukrainian).</w:t>
            </w:r>
          </w:p>
          <w:p w14:paraId="59F89554" w14:textId="77777777" w:rsidR="008C7424" w:rsidRPr="00CD1E68" w:rsidRDefault="008C7424" w:rsidP="00CD1E68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754" w:hanging="357"/>
              <w:contextualSpacing w:val="0"/>
              <w:rPr>
                <w:rFonts w:asciiTheme="majorBidi" w:hAnsiTheme="majorBidi" w:cstheme="majorBidi"/>
                <w:color w:val="auto"/>
                <w:sz w:val="24"/>
                <w:szCs w:val="24"/>
                <w:lang w:val="pl-PL"/>
              </w:rPr>
            </w:pPr>
            <w:r w:rsidRPr="00CD1E68">
              <w:rPr>
                <w:rFonts w:asciiTheme="majorBidi" w:hAnsiTheme="majorBidi" w:cstheme="majorBidi"/>
                <w:color w:val="auto"/>
                <w:sz w:val="24"/>
                <w:szCs w:val="24"/>
                <w:lang w:val="pl-PL"/>
              </w:rPr>
              <w:t xml:space="preserve">Trefilov A. A. Ugolovny`j proczess Shvejczarii. </w:t>
            </w:r>
            <w:proofErr w:type="spellStart"/>
            <w:r w:rsidRPr="00CD1E68">
              <w:rPr>
                <w:rFonts w:asciiTheme="majorBidi" w:hAnsiTheme="majorBidi" w:cstheme="majorBidi"/>
                <w:color w:val="auto"/>
                <w:sz w:val="24"/>
                <w:szCs w:val="24"/>
                <w:lang w:val="en-US"/>
              </w:rPr>
              <w:t>Ugolovny`j</w:t>
            </w:r>
            <w:proofErr w:type="spellEnd"/>
            <w:r w:rsidRPr="00CD1E68">
              <w:rPr>
                <w:rFonts w:asciiTheme="majorBidi" w:hAnsiTheme="majorBidi" w:cstheme="majorBidi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1E68">
              <w:rPr>
                <w:rFonts w:asciiTheme="majorBidi" w:hAnsiTheme="majorBidi" w:cstheme="majorBidi"/>
                <w:color w:val="auto"/>
                <w:sz w:val="24"/>
                <w:szCs w:val="24"/>
                <w:lang w:val="en-US"/>
              </w:rPr>
              <w:t>proczess</w:t>
            </w:r>
            <w:proofErr w:type="spellEnd"/>
            <w:r w:rsidRPr="00CD1E68">
              <w:rPr>
                <w:rFonts w:asciiTheme="majorBidi" w:hAnsiTheme="majorBidi" w:cstheme="majorBidi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1E68">
              <w:rPr>
                <w:rFonts w:asciiTheme="majorBidi" w:hAnsiTheme="majorBidi" w:cstheme="majorBidi"/>
                <w:color w:val="auto"/>
                <w:sz w:val="24"/>
                <w:szCs w:val="24"/>
                <w:lang w:val="en-US"/>
              </w:rPr>
              <w:t>zarubezhny`kh</w:t>
            </w:r>
            <w:proofErr w:type="spellEnd"/>
            <w:r w:rsidRPr="00CD1E68">
              <w:rPr>
                <w:rFonts w:asciiTheme="majorBidi" w:hAnsiTheme="majorBidi" w:cstheme="majorBidi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1E68">
              <w:rPr>
                <w:rFonts w:asciiTheme="majorBidi" w:hAnsiTheme="majorBidi" w:cstheme="majorBidi"/>
                <w:color w:val="auto"/>
                <w:sz w:val="24"/>
                <w:szCs w:val="24"/>
                <w:lang w:val="en-US"/>
              </w:rPr>
              <w:t>stran</w:t>
            </w:r>
            <w:proofErr w:type="spellEnd"/>
            <w:r w:rsidRPr="00CD1E68"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 </w:t>
            </w:r>
            <w:r w:rsidRPr="00CD1E68">
              <w:rPr>
                <w:rFonts w:asciiTheme="majorBidi" w:hAnsiTheme="majorBidi" w:cstheme="majorBidi"/>
                <w:color w:val="auto"/>
                <w:sz w:val="24"/>
                <w:szCs w:val="24"/>
                <w:lang w:val="en-US"/>
              </w:rPr>
              <w:t>[Criminal proceedings of Switzerland. Criminal proceedings of foreign countries]</w:t>
            </w:r>
            <w:r w:rsidRPr="00CD1E68">
              <w:rPr>
                <w:rFonts w:asciiTheme="majorBidi" w:hAnsiTheme="majorBidi" w:cstheme="majorBidi"/>
                <w:color w:val="auto"/>
                <w:sz w:val="24"/>
                <w:szCs w:val="24"/>
                <w:lang w:val="pl-PL"/>
              </w:rPr>
              <w:t xml:space="preserve">. </w:t>
            </w:r>
            <w:r w:rsidRPr="00CD1E68">
              <w:rPr>
                <w:rFonts w:asciiTheme="majorBidi" w:hAnsiTheme="majorBidi" w:cstheme="majorBidi"/>
                <w:color w:val="auto"/>
                <w:sz w:val="24"/>
                <w:szCs w:val="24"/>
                <w:lang w:val="en-US"/>
              </w:rPr>
              <w:t xml:space="preserve">Tom 1. M., 2016. </w:t>
            </w:r>
            <w:r w:rsidRPr="00CD1E68">
              <w:rPr>
                <w:rFonts w:asciiTheme="majorBidi" w:hAnsiTheme="majorBidi" w:cstheme="majorBidi"/>
                <w:color w:val="auto"/>
                <w:sz w:val="24"/>
                <w:szCs w:val="24"/>
                <w:lang w:val="ru-RU"/>
              </w:rPr>
              <w:t xml:space="preserve">1039 </w:t>
            </w:r>
            <w:proofErr w:type="spellStart"/>
            <w:r w:rsidRPr="00CD1E68">
              <w:rPr>
                <w:rFonts w:asciiTheme="majorBidi" w:hAnsiTheme="majorBidi" w:cstheme="majorBidi"/>
                <w:color w:val="auto"/>
                <w:sz w:val="24"/>
                <w:szCs w:val="24"/>
                <w:lang w:val="en-US"/>
              </w:rPr>
              <w:t>st.</w:t>
            </w:r>
            <w:proofErr w:type="spellEnd"/>
          </w:p>
          <w:p w14:paraId="0F655EE3" w14:textId="77777777" w:rsidR="008C7424" w:rsidRPr="00CD1E68" w:rsidRDefault="008C7424" w:rsidP="00CD1E68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754" w:hanging="357"/>
              <w:contextualSpacing w:val="0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en-US"/>
              </w:rPr>
            </w:pPr>
            <w:proofErr w:type="spellStart"/>
            <w:r w:rsidRPr="00CD1E68">
              <w:rPr>
                <w:rFonts w:asciiTheme="majorBidi" w:hAnsiTheme="majorBidi" w:cstheme="majorBidi"/>
                <w:color w:val="auto"/>
                <w:sz w:val="24"/>
                <w:szCs w:val="24"/>
                <w:lang w:val="en-US"/>
              </w:rPr>
              <w:t>Beran</w:t>
            </w:r>
            <w:proofErr w:type="spellEnd"/>
            <w:r w:rsidRPr="00CD1E68">
              <w:rPr>
                <w:rFonts w:asciiTheme="majorBidi" w:hAnsiTheme="majorBidi" w:cstheme="majorBidi"/>
                <w:color w:val="auto"/>
                <w:sz w:val="24"/>
                <w:szCs w:val="24"/>
                <w:lang w:val="en-US"/>
              </w:rPr>
              <w:t xml:space="preserve"> RG. The role of the expert witness in the adversarial legal system. Journal of law and Medicine. 2009 Aug;17(1):133-137 (in English).</w:t>
            </w:r>
          </w:p>
          <w:p w14:paraId="3EF5F5EB" w14:textId="77777777" w:rsidR="008C7424" w:rsidRPr="00CD1E68" w:rsidRDefault="008C7424" w:rsidP="00CD1E68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754" w:hanging="357"/>
              <w:contextualSpacing w:val="0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en-US"/>
              </w:rPr>
            </w:pPr>
            <w:r w:rsidRPr="00CD1E68">
              <w:rPr>
                <w:rFonts w:asciiTheme="majorBidi" w:hAnsiTheme="majorBidi" w:cstheme="majorBidi"/>
                <w:color w:val="auto"/>
                <w:sz w:val="24"/>
                <w:szCs w:val="24"/>
                <w:lang w:val="en-US"/>
              </w:rPr>
              <w:t xml:space="preserve">Bernstein, David E. "Expert Witnesses, Adversarial Bias, and the (Partial) Failure of the Daubert Revolution." Iowa Law Review, vol. 93, no. 2, February 2008, p. 451-490. </w:t>
            </w:r>
            <w:proofErr w:type="spellStart"/>
            <w:r w:rsidRPr="00CD1E68">
              <w:rPr>
                <w:rFonts w:asciiTheme="majorBidi" w:hAnsiTheme="majorBidi" w:cstheme="majorBidi"/>
                <w:color w:val="auto"/>
                <w:sz w:val="24"/>
                <w:szCs w:val="24"/>
                <w:lang w:val="en-US"/>
              </w:rPr>
              <w:t>HeinOnline</w:t>
            </w:r>
            <w:proofErr w:type="spellEnd"/>
            <w:r w:rsidRPr="00CD1E68">
              <w:rPr>
                <w:rFonts w:asciiTheme="majorBidi" w:hAnsiTheme="majorBidi" w:cstheme="majorBidi"/>
                <w:color w:val="auto"/>
                <w:sz w:val="24"/>
                <w:szCs w:val="24"/>
                <w:lang w:val="en-US"/>
              </w:rPr>
              <w:t xml:space="preserve"> (in English).</w:t>
            </w:r>
          </w:p>
          <w:p w14:paraId="6D8E191B" w14:textId="3333087F" w:rsidR="008C7424" w:rsidRPr="00CD1E68" w:rsidRDefault="008C7424" w:rsidP="00CD1E68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754" w:hanging="357"/>
              <w:contextualSpacing w:val="0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en-US"/>
              </w:rPr>
            </w:pPr>
            <w:r w:rsidRPr="00CD1E68">
              <w:rPr>
                <w:rFonts w:asciiTheme="majorBidi" w:hAnsiTheme="majorBidi" w:cstheme="majorBidi"/>
                <w:color w:val="auto"/>
                <w:sz w:val="24"/>
                <w:szCs w:val="24"/>
                <w:lang w:val="en-US"/>
              </w:rPr>
              <w:t xml:space="preserve">Browne, M. Neil, et al. "The Perspectival Nature of Expert Testimony in the United States, England, Korea, and France." Connecticut Journal of International Law, vol. 18, no. 1, Fall 2002, p. 55-102. </w:t>
            </w:r>
          </w:p>
          <w:p w14:paraId="7F661A44" w14:textId="77777777" w:rsidR="008C7424" w:rsidRPr="00CD1E68" w:rsidRDefault="008C7424" w:rsidP="00CD1E68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754" w:hanging="357"/>
              <w:contextualSpacing w:val="0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en-US"/>
              </w:rPr>
            </w:pPr>
            <w:r w:rsidRPr="00CD1E68">
              <w:rPr>
                <w:rFonts w:asciiTheme="majorBidi" w:hAnsiTheme="majorBidi" w:cstheme="majorBidi"/>
                <w:color w:val="auto"/>
                <w:sz w:val="24"/>
                <w:szCs w:val="24"/>
                <w:lang w:val="en-US"/>
              </w:rPr>
              <w:t xml:space="preserve">C. </w:t>
            </w:r>
            <w:proofErr w:type="spellStart"/>
            <w:r w:rsidRPr="00CD1E68">
              <w:rPr>
                <w:rFonts w:asciiTheme="majorBidi" w:hAnsiTheme="majorBidi" w:cstheme="majorBidi"/>
                <w:color w:val="auto"/>
                <w:sz w:val="24"/>
                <w:szCs w:val="24"/>
                <w:lang w:val="en-US"/>
              </w:rPr>
              <w:t>Stavrianos</w:t>
            </w:r>
            <w:proofErr w:type="spellEnd"/>
            <w:r w:rsidRPr="00CD1E68">
              <w:rPr>
                <w:rFonts w:asciiTheme="majorBidi" w:hAnsiTheme="majorBidi" w:cstheme="majorBidi"/>
                <w:color w:val="auto"/>
                <w:sz w:val="24"/>
                <w:szCs w:val="24"/>
                <w:lang w:val="en-US"/>
              </w:rPr>
              <w:t xml:space="preserve">, C. Papadopoulos, L. </w:t>
            </w:r>
            <w:proofErr w:type="spellStart"/>
            <w:r w:rsidRPr="00CD1E68">
              <w:rPr>
                <w:rFonts w:asciiTheme="majorBidi" w:hAnsiTheme="majorBidi" w:cstheme="majorBidi"/>
                <w:color w:val="auto"/>
                <w:sz w:val="24"/>
                <w:szCs w:val="24"/>
                <w:lang w:val="en-US"/>
              </w:rPr>
              <w:t>Vasiliadis</w:t>
            </w:r>
            <w:proofErr w:type="spellEnd"/>
            <w:r w:rsidRPr="00CD1E68">
              <w:rPr>
                <w:rFonts w:asciiTheme="majorBidi" w:hAnsiTheme="majorBidi" w:cstheme="majorBidi"/>
                <w:color w:val="auto"/>
                <w:sz w:val="24"/>
                <w:szCs w:val="24"/>
                <w:lang w:val="en-US"/>
              </w:rPr>
              <w:t xml:space="preserve">, A. </w:t>
            </w:r>
            <w:proofErr w:type="spellStart"/>
            <w:r w:rsidRPr="00CD1E68">
              <w:rPr>
                <w:rFonts w:asciiTheme="majorBidi" w:hAnsiTheme="majorBidi" w:cstheme="majorBidi"/>
                <w:color w:val="auto"/>
                <w:sz w:val="24"/>
                <w:szCs w:val="24"/>
                <w:lang w:val="en-US"/>
              </w:rPr>
              <w:t>Pantazis</w:t>
            </w:r>
            <w:proofErr w:type="spellEnd"/>
            <w:r w:rsidRPr="00CD1E68">
              <w:rPr>
                <w:rFonts w:asciiTheme="majorBidi" w:hAnsiTheme="majorBidi" w:cstheme="majorBidi"/>
                <w:color w:val="auto"/>
                <w:sz w:val="24"/>
                <w:szCs w:val="24"/>
                <w:lang w:val="en-US"/>
              </w:rPr>
              <w:t xml:space="preserve"> and A. </w:t>
            </w:r>
            <w:proofErr w:type="spellStart"/>
            <w:r w:rsidRPr="00CD1E68">
              <w:rPr>
                <w:rFonts w:asciiTheme="majorBidi" w:hAnsiTheme="majorBidi" w:cstheme="majorBidi"/>
                <w:color w:val="auto"/>
                <w:sz w:val="24"/>
                <w:szCs w:val="24"/>
                <w:lang w:val="en-US"/>
              </w:rPr>
              <w:t>Kokkas</w:t>
            </w:r>
            <w:proofErr w:type="spellEnd"/>
            <w:r w:rsidRPr="00CD1E68">
              <w:rPr>
                <w:rFonts w:asciiTheme="majorBidi" w:hAnsiTheme="majorBidi" w:cstheme="majorBidi"/>
                <w:color w:val="auto"/>
                <w:sz w:val="24"/>
                <w:szCs w:val="24"/>
                <w:lang w:val="en-US"/>
              </w:rPr>
              <w:t>, 2011. The Role of Expert Witness in the Adversarial English and Welsh Legal System. Research Journal of Medical Sciences, 5: 4-8 (in English).</w:t>
            </w:r>
          </w:p>
          <w:p w14:paraId="0B0A8D7B" w14:textId="77777777" w:rsidR="008C7424" w:rsidRPr="00CD1E68" w:rsidRDefault="008C7424" w:rsidP="00CD1E68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754" w:hanging="357"/>
              <w:contextualSpacing w:val="0"/>
              <w:rPr>
                <w:rFonts w:asciiTheme="majorBidi" w:hAnsiTheme="majorBidi" w:cstheme="majorBidi"/>
                <w:color w:val="auto"/>
                <w:sz w:val="24"/>
                <w:szCs w:val="24"/>
                <w:lang w:val="en-US"/>
              </w:rPr>
            </w:pPr>
            <w:proofErr w:type="spellStart"/>
            <w:r w:rsidRPr="00CD1E68">
              <w:rPr>
                <w:rFonts w:asciiTheme="majorBidi" w:hAnsiTheme="majorBidi" w:cstheme="majorBidi"/>
                <w:color w:val="auto"/>
                <w:sz w:val="24"/>
                <w:szCs w:val="24"/>
                <w:lang w:val="en-US"/>
              </w:rPr>
              <w:t>Decaigny</w:t>
            </w:r>
            <w:proofErr w:type="spellEnd"/>
            <w:r w:rsidRPr="00CD1E68">
              <w:rPr>
                <w:rFonts w:asciiTheme="majorBidi" w:hAnsiTheme="majorBidi" w:cstheme="majorBidi"/>
                <w:color w:val="auto"/>
                <w:sz w:val="24"/>
                <w:szCs w:val="24"/>
                <w:lang w:val="en-US"/>
              </w:rPr>
              <w:t xml:space="preserve"> T. Inquisitorial and Adversarial Expert Examinations in the Case Law of the European Court of Human Rights. New Journal of European Criminal Law. 2014;5(2):149-166.</w:t>
            </w:r>
            <w:r w:rsidRPr="00CD1E68">
              <w:rPr>
                <w:color w:val="auto"/>
                <w:sz w:val="24"/>
                <w:szCs w:val="24"/>
              </w:rPr>
              <w:t xml:space="preserve"> </w:t>
            </w:r>
            <w:r w:rsidRPr="00CD1E68">
              <w:rPr>
                <w:rFonts w:asciiTheme="majorBidi" w:hAnsiTheme="majorBidi" w:cstheme="majorBidi"/>
                <w:color w:val="auto"/>
                <w:sz w:val="24"/>
                <w:szCs w:val="24"/>
                <w:lang w:val="en-US"/>
              </w:rPr>
              <w:t>(in English).</w:t>
            </w:r>
          </w:p>
          <w:p w14:paraId="2EE25504" w14:textId="77777777" w:rsidR="008C7424" w:rsidRPr="00CD1E68" w:rsidRDefault="008C7424" w:rsidP="00CD1E68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754" w:hanging="357"/>
              <w:contextualSpacing w:val="0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en-US"/>
              </w:rPr>
            </w:pPr>
            <w:r w:rsidRPr="00CD1E68">
              <w:rPr>
                <w:rFonts w:asciiTheme="majorBidi" w:hAnsiTheme="majorBidi" w:cstheme="majorBidi"/>
                <w:color w:val="auto"/>
                <w:sz w:val="24"/>
                <w:szCs w:val="24"/>
                <w:lang w:val="en-US"/>
              </w:rPr>
              <w:t xml:space="preserve">Dwyer, Deirdre. "The Duties of Expert Witnesses of Fact and Opinion: R v. Clark (Sally)." International Journal of Evidence &amp; Proof, vol. 7, no. 4, 2003, p. 264-269. </w:t>
            </w:r>
            <w:proofErr w:type="spellStart"/>
            <w:r w:rsidRPr="00CD1E68">
              <w:rPr>
                <w:rFonts w:asciiTheme="majorBidi" w:hAnsiTheme="majorBidi" w:cstheme="majorBidi"/>
                <w:color w:val="auto"/>
                <w:sz w:val="24"/>
                <w:szCs w:val="24"/>
                <w:lang w:val="en-US"/>
              </w:rPr>
              <w:t>HeinOnline</w:t>
            </w:r>
            <w:proofErr w:type="spellEnd"/>
            <w:r w:rsidRPr="00CD1E68">
              <w:rPr>
                <w:rFonts w:asciiTheme="majorBidi" w:hAnsiTheme="majorBidi" w:cstheme="majorBidi"/>
                <w:color w:val="auto"/>
                <w:sz w:val="24"/>
                <w:szCs w:val="24"/>
                <w:lang w:val="en-US"/>
              </w:rPr>
              <w:t xml:space="preserve"> (in English).</w:t>
            </w:r>
          </w:p>
          <w:p w14:paraId="3BE4502C" w14:textId="77777777" w:rsidR="008C7424" w:rsidRPr="00CD1E68" w:rsidRDefault="008C7424" w:rsidP="00CD1E68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754" w:hanging="357"/>
              <w:contextualSpacing w:val="0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en-US"/>
              </w:rPr>
            </w:pPr>
            <w:r w:rsidRPr="00CD1E68">
              <w:rPr>
                <w:rFonts w:asciiTheme="majorBidi" w:hAnsiTheme="majorBidi" w:cstheme="majorBidi"/>
                <w:color w:val="auto"/>
                <w:sz w:val="24"/>
                <w:szCs w:val="24"/>
                <w:lang w:val="en-US"/>
              </w:rPr>
              <w:t xml:space="preserve">Gooderham, Peter. "Complaints about Medical Expert Witnesses in the United </w:t>
            </w:r>
            <w:proofErr w:type="spellStart"/>
            <w:r w:rsidRPr="00CD1E68">
              <w:rPr>
                <w:rFonts w:asciiTheme="majorBidi" w:hAnsiTheme="majorBidi" w:cstheme="majorBidi"/>
                <w:color w:val="auto"/>
                <w:sz w:val="24"/>
                <w:szCs w:val="24"/>
                <w:lang w:val="en-US"/>
              </w:rPr>
              <w:t>Kingdom."Medical</w:t>
            </w:r>
            <w:proofErr w:type="spellEnd"/>
            <w:r w:rsidRPr="00CD1E68">
              <w:rPr>
                <w:rFonts w:asciiTheme="majorBidi" w:hAnsiTheme="majorBidi" w:cstheme="majorBidi"/>
                <w:color w:val="auto"/>
                <w:sz w:val="24"/>
                <w:szCs w:val="24"/>
                <w:lang w:val="en-US"/>
              </w:rPr>
              <w:t xml:space="preserve"> Law International, vol. 6, no. 4, December 2004, p. 297-316 (in English).</w:t>
            </w:r>
          </w:p>
          <w:p w14:paraId="40E47A08" w14:textId="6071855E" w:rsidR="008C7424" w:rsidRPr="00CD1E68" w:rsidRDefault="008C7424" w:rsidP="00CD1E68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754" w:hanging="357"/>
              <w:contextualSpacing w:val="0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en-US"/>
              </w:rPr>
            </w:pPr>
            <w:r w:rsidRPr="00CD1E68">
              <w:rPr>
                <w:rFonts w:asciiTheme="majorBidi" w:hAnsiTheme="majorBidi" w:cstheme="majorBidi"/>
                <w:color w:val="auto"/>
                <w:sz w:val="24"/>
                <w:szCs w:val="24"/>
                <w:lang w:val="en-US"/>
              </w:rPr>
              <w:t>Gudjonsson, G. H. (1986). Criminal Court Proceedings in England: The Contribution of the Psychologist as an Expert Witness. Medicine and Law, 5, p.401 (in English).</w:t>
            </w:r>
          </w:p>
          <w:p w14:paraId="182A5AC7" w14:textId="78DD8FF3" w:rsidR="008C7424" w:rsidRPr="00CD1E68" w:rsidRDefault="008C7424" w:rsidP="00CD1E68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754" w:hanging="357"/>
              <w:contextualSpacing w:val="0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en-US"/>
              </w:rPr>
            </w:pPr>
            <w:r w:rsidRPr="00CD1E68">
              <w:rPr>
                <w:rFonts w:asciiTheme="majorBidi" w:hAnsiTheme="majorBidi" w:cstheme="majorBidi"/>
                <w:color w:val="auto"/>
                <w:sz w:val="24"/>
                <w:szCs w:val="24"/>
                <w:lang w:val="en-US"/>
              </w:rPr>
              <w:t>Hayes, A. (2018-2019). Buying Justice: The Cost of Expert Witnesses in Jurisdictions across the World. Idaho Critical Legal Studies Journal, 12, 1-24 (in English).</w:t>
            </w:r>
          </w:p>
          <w:p w14:paraId="780CCF65" w14:textId="77777777" w:rsidR="008C7424" w:rsidRPr="00CD1E68" w:rsidRDefault="008C7424" w:rsidP="00CD1E68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754" w:hanging="357"/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bookmarkStart w:id="0" w:name="_Ref66138228"/>
            <w:r w:rsidRPr="00CD1E6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>Universal Jurisdiction Law and Practice in France</w:t>
            </w:r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, Open Society Justice Initiative, New York 2019.</w:t>
            </w:r>
            <w:bookmarkEnd w:id="0"/>
          </w:p>
          <w:p w14:paraId="1E7D4F3A" w14:textId="77777777" w:rsidR="008C7424" w:rsidRPr="00CD1E68" w:rsidRDefault="008C7424" w:rsidP="00CD1E68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754" w:hanging="357"/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bookmarkStart w:id="1" w:name="_Ref64827432"/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V. L.</w:t>
            </w:r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Schwartz, </w:t>
            </w:r>
            <w:r w:rsidRPr="00CD1E6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 xml:space="preserve">Comparing the US and French Models of Criminal Pre-trial Investigation: Party-Prosecutor v. Neutral </w:t>
            </w:r>
            <w:proofErr w:type="spellStart"/>
            <w:r w:rsidRPr="00CD1E6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>Juge</w:t>
            </w:r>
            <w:proofErr w:type="spellEnd"/>
            <w:r w:rsidRPr="00CD1E6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1E6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>D'Instruction</w:t>
            </w:r>
            <w:proofErr w:type="spellEnd"/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, Stanford Law School, Stanford University</w:t>
            </w:r>
            <w:bookmarkEnd w:id="1"/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2017.</w:t>
            </w:r>
          </w:p>
          <w:p w14:paraId="48552F86" w14:textId="38C4FFC0" w:rsidR="008C7424" w:rsidRPr="00CD1E68" w:rsidRDefault="008C7424" w:rsidP="00CD1E68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754" w:hanging="357"/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Garapon</w:t>
            </w:r>
            <w:proofErr w:type="spellEnd"/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, </w:t>
            </w:r>
            <w:r w:rsidRPr="00CD1E6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>France-United States: Two Different Ways to Reach Legal Truth</w:t>
            </w:r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, 22 August 2011, https://www.europeaninstitute.org/index.php/87-documents/documents/1399-france-united-states-two-different-ways-to-reach-legal-truth-by-french-magistrate-antoine-garapon</w:t>
            </w:r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</w:p>
          <w:p w14:paraId="070CFE27" w14:textId="77777777" w:rsidR="008C7424" w:rsidRPr="00CD1E68" w:rsidRDefault="008C7424" w:rsidP="00CD1E68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754" w:hanging="357"/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R.</w:t>
            </w:r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Beran</w:t>
            </w:r>
            <w:proofErr w:type="spellEnd"/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CD1E6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The</w:t>
            </w:r>
            <w:proofErr w:type="spellEnd"/>
            <w:r w:rsidRPr="00CD1E6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D1E6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role</w:t>
            </w:r>
            <w:proofErr w:type="spellEnd"/>
            <w:r w:rsidRPr="00CD1E6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D1E6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of</w:t>
            </w:r>
            <w:proofErr w:type="spellEnd"/>
            <w:r w:rsidRPr="00CD1E6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D1E6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the</w:t>
            </w:r>
            <w:proofErr w:type="spellEnd"/>
            <w:r w:rsidRPr="00CD1E6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D1E6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expert</w:t>
            </w:r>
            <w:proofErr w:type="spellEnd"/>
            <w:r w:rsidRPr="00CD1E6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D1E6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fitness</w:t>
            </w:r>
            <w:proofErr w:type="spellEnd"/>
            <w:r w:rsidRPr="00CD1E6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D1E6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In</w:t>
            </w:r>
            <w:proofErr w:type="spellEnd"/>
            <w:r w:rsidRPr="00CD1E6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D1E6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the</w:t>
            </w:r>
            <w:proofErr w:type="spellEnd"/>
            <w:r w:rsidRPr="00CD1E6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D1E6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adversarial</w:t>
            </w:r>
            <w:proofErr w:type="spellEnd"/>
            <w:r w:rsidRPr="00CD1E6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D1E6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legal</w:t>
            </w:r>
            <w:proofErr w:type="spellEnd"/>
            <w:r w:rsidRPr="00CD1E6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D1E6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system</w:t>
            </w:r>
            <w:proofErr w:type="spellEnd"/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„</w:t>
            </w:r>
            <w:proofErr w:type="spellStart"/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Journal</w:t>
            </w:r>
            <w:proofErr w:type="spellEnd"/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of</w:t>
            </w:r>
            <w:proofErr w:type="spellEnd"/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Law</w:t>
            </w:r>
            <w:proofErr w:type="spellEnd"/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and</w:t>
            </w:r>
            <w:proofErr w:type="spellEnd"/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Medicine</w:t>
            </w:r>
            <w:proofErr w:type="spellEnd"/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“</w:t>
            </w:r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17</w:t>
            </w:r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, </w:t>
            </w:r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2009</w:t>
            </w:r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, nr 1,</w:t>
            </w:r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s. 133-137.</w:t>
            </w:r>
          </w:p>
          <w:p w14:paraId="187EC2D0" w14:textId="77777777" w:rsidR="008C7424" w:rsidRPr="00CD1E68" w:rsidRDefault="008C7424" w:rsidP="00CD1E68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754" w:hanging="357"/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D1E6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Comparative</w:t>
            </w:r>
            <w:proofErr w:type="spellEnd"/>
            <w:r w:rsidRPr="00CD1E6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D1E6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study</w:t>
            </w:r>
            <w:proofErr w:type="spellEnd"/>
            <w:r w:rsidRPr="00CD1E6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D1E6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on</w:t>
            </w:r>
            <w:proofErr w:type="spellEnd"/>
            <w:r w:rsidRPr="00CD1E6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D1E6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expert</w:t>
            </w:r>
            <w:proofErr w:type="spellEnd"/>
            <w:r w:rsidRPr="00CD1E6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D1E6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witnesses</w:t>
            </w:r>
            <w:proofErr w:type="spellEnd"/>
            <w:r w:rsidRPr="00CD1E6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D1E6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in</w:t>
            </w:r>
            <w:proofErr w:type="spellEnd"/>
            <w:r w:rsidRPr="00CD1E6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D1E6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court</w:t>
            </w:r>
            <w:proofErr w:type="spellEnd"/>
            <w:r w:rsidRPr="00CD1E6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D1E6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proceedings</w:t>
            </w:r>
            <w:proofErr w:type="spellEnd"/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English</w:t>
            </w:r>
            <w:proofErr w:type="spellEnd"/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,</w:t>
            </w:r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Washington</w:t>
            </w:r>
            <w:proofErr w:type="spellEnd"/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DC: </w:t>
            </w:r>
            <w:proofErr w:type="spellStart"/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World</w:t>
            </w:r>
            <w:proofErr w:type="spellEnd"/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Bank</w:t>
            </w:r>
            <w:proofErr w:type="spellEnd"/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,</w:t>
            </w:r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http://documents.worldbank.org/curated/en/801721468339116562/Comparative-study-on-expert-witnesses-in-court-proceedings</w:t>
            </w:r>
          </w:p>
          <w:p w14:paraId="64D31C77" w14:textId="77777777" w:rsidR="00CD1E68" w:rsidRPr="00CD1E68" w:rsidRDefault="00CD1E68" w:rsidP="00CD1E68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754" w:hanging="357"/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M.</w:t>
            </w:r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Ploscowe</w:t>
            </w:r>
            <w:proofErr w:type="spellEnd"/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CD1E6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The</w:t>
            </w:r>
            <w:proofErr w:type="spellEnd"/>
            <w:r w:rsidRPr="00CD1E6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D1E6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Expert</w:t>
            </w:r>
            <w:proofErr w:type="spellEnd"/>
            <w:r w:rsidRPr="00CD1E6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D1E6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Witness</w:t>
            </w:r>
            <w:proofErr w:type="spellEnd"/>
            <w:r w:rsidRPr="00CD1E6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D1E6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in</w:t>
            </w:r>
            <w:proofErr w:type="spellEnd"/>
            <w:r w:rsidRPr="00CD1E6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D1E6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Criminal</w:t>
            </w:r>
            <w:proofErr w:type="spellEnd"/>
            <w:r w:rsidRPr="00CD1E6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D1E6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Cases</w:t>
            </w:r>
            <w:proofErr w:type="spellEnd"/>
            <w:r w:rsidRPr="00CD1E6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D1E6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in</w:t>
            </w:r>
            <w:proofErr w:type="spellEnd"/>
            <w:r w:rsidRPr="00CD1E6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D1E6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France</w:t>
            </w:r>
            <w:proofErr w:type="spellEnd"/>
            <w:r w:rsidRPr="00CD1E6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CD1E6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Germany</w:t>
            </w:r>
            <w:proofErr w:type="spellEnd"/>
            <w:r w:rsidRPr="00CD1E6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CD1E6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and</w:t>
            </w:r>
            <w:proofErr w:type="spellEnd"/>
            <w:r w:rsidRPr="00CD1E6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D1E6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Italy</w:t>
            </w:r>
            <w:proofErr w:type="spellEnd"/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,</w:t>
            </w:r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„</w:t>
            </w:r>
            <w:proofErr w:type="spellStart"/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Law</w:t>
            </w:r>
            <w:proofErr w:type="spellEnd"/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and</w:t>
            </w:r>
            <w:proofErr w:type="spellEnd"/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Contemporary</w:t>
            </w:r>
            <w:proofErr w:type="spellEnd"/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Problems</w:t>
            </w:r>
            <w:proofErr w:type="spellEnd"/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“</w:t>
            </w:r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2, 1935</w:t>
            </w:r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, </w:t>
            </w:r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</w:t>
            </w:r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</w:t>
            </w:r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4, </w:t>
            </w:r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</w:t>
            </w:r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504-509.</w:t>
            </w:r>
          </w:p>
          <w:p w14:paraId="1A27DEC3" w14:textId="77777777" w:rsidR="00CD1E68" w:rsidRPr="00CD1E68" w:rsidRDefault="00CD1E68" w:rsidP="00CD1E68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754" w:hanging="357"/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P</w:t>
            </w:r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</w:t>
            </w:r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Gheorghe</w:t>
            </w:r>
            <w:proofErr w:type="spellEnd"/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N</w:t>
            </w:r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</w:t>
            </w:r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Ionel</w:t>
            </w:r>
            <w:proofErr w:type="spellEnd"/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CD1E6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Study</w:t>
            </w:r>
            <w:proofErr w:type="spellEnd"/>
            <w:r w:rsidRPr="00CD1E6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D1E6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on</w:t>
            </w:r>
            <w:proofErr w:type="spellEnd"/>
            <w:r w:rsidRPr="00CD1E6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D1E6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expert</w:t>
            </w:r>
            <w:proofErr w:type="spellEnd"/>
            <w:r w:rsidRPr="00CD1E6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D1E6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status</w:t>
            </w:r>
            <w:proofErr w:type="spellEnd"/>
            <w:r w:rsidRPr="00CD1E6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D1E6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in</w:t>
            </w:r>
            <w:proofErr w:type="spellEnd"/>
            <w:r w:rsidRPr="00CD1E6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D1E6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the</w:t>
            </w:r>
            <w:proofErr w:type="spellEnd"/>
            <w:r w:rsidRPr="00CD1E6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D1E6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European</w:t>
            </w:r>
            <w:proofErr w:type="spellEnd"/>
            <w:r w:rsidRPr="00CD1E6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D1E6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judicial</w:t>
            </w:r>
            <w:proofErr w:type="spellEnd"/>
            <w:r w:rsidRPr="00CD1E6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D1E6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system</w:t>
            </w:r>
            <w:proofErr w:type="spellEnd"/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„</w:t>
            </w:r>
            <w:proofErr w:type="spellStart"/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Agora</w:t>
            </w:r>
            <w:proofErr w:type="spellEnd"/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International</w:t>
            </w:r>
            <w:proofErr w:type="spellEnd"/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Journal</w:t>
            </w:r>
            <w:proofErr w:type="spellEnd"/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of</w:t>
            </w:r>
            <w:proofErr w:type="spellEnd"/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Juridical</w:t>
            </w:r>
            <w:proofErr w:type="spellEnd"/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Sciences</w:t>
            </w:r>
            <w:proofErr w:type="spellEnd"/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“</w:t>
            </w:r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2013</w:t>
            </w:r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, nr</w:t>
            </w:r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3, s. 161-168.</w:t>
            </w:r>
          </w:p>
          <w:p w14:paraId="66E84786" w14:textId="00A4D3D5" w:rsidR="008C7424" w:rsidRPr="00CD1E68" w:rsidRDefault="00CD1E68" w:rsidP="00CD1E68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754" w:hanging="357"/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</w:t>
            </w:r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</w:t>
            </w:r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Grøndahl</w:t>
            </w:r>
            <w:proofErr w:type="spellEnd"/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U</w:t>
            </w:r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</w:t>
            </w:r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Stridbeck</w:t>
            </w:r>
            <w:proofErr w:type="spellEnd"/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,</w:t>
            </w:r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C</w:t>
            </w:r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</w:t>
            </w:r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Grønnerød</w:t>
            </w:r>
            <w:proofErr w:type="spellEnd"/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D1E6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The</w:t>
            </w:r>
            <w:proofErr w:type="spellEnd"/>
            <w:r w:rsidRPr="00CD1E6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D1E6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truth</w:t>
            </w:r>
            <w:proofErr w:type="spellEnd"/>
            <w:r w:rsidRPr="00CD1E6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D1E6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and</w:t>
            </w:r>
            <w:proofErr w:type="spellEnd"/>
            <w:r w:rsidRPr="00CD1E6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D1E6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nothing</w:t>
            </w:r>
            <w:proofErr w:type="spellEnd"/>
            <w:r w:rsidRPr="00CD1E6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D1E6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but</w:t>
            </w:r>
            <w:proofErr w:type="spellEnd"/>
            <w:r w:rsidRPr="00CD1E6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D1E6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the</w:t>
            </w:r>
            <w:proofErr w:type="spellEnd"/>
            <w:r w:rsidRPr="00CD1E6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D1E6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truth</w:t>
            </w:r>
            <w:proofErr w:type="spellEnd"/>
            <w:r w:rsidRPr="00CD1E6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: </w:t>
            </w:r>
            <w:proofErr w:type="spellStart"/>
            <w:r w:rsidRPr="00CD1E6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court-appointed</w:t>
            </w:r>
            <w:proofErr w:type="spellEnd"/>
            <w:r w:rsidRPr="00CD1E6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D1E6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forensic</w:t>
            </w:r>
            <w:proofErr w:type="spellEnd"/>
            <w:r w:rsidRPr="00CD1E6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D1E6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experts</w:t>
            </w:r>
            <w:proofErr w:type="spellEnd"/>
            <w:r w:rsidRPr="00CD1E6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’ </w:t>
            </w:r>
            <w:proofErr w:type="spellStart"/>
            <w:r w:rsidRPr="00CD1E6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experience</w:t>
            </w:r>
            <w:proofErr w:type="spellEnd"/>
            <w:r w:rsidRPr="00CD1E6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D1E6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with</w:t>
            </w:r>
            <w:proofErr w:type="spellEnd"/>
            <w:r w:rsidRPr="00CD1E6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D1E6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testifying</w:t>
            </w:r>
            <w:proofErr w:type="spellEnd"/>
            <w:r w:rsidRPr="00CD1E6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D1E6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and</w:t>
            </w:r>
            <w:proofErr w:type="spellEnd"/>
            <w:r w:rsidRPr="00CD1E6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D1E6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their</w:t>
            </w:r>
            <w:proofErr w:type="spellEnd"/>
            <w:r w:rsidRPr="00CD1E6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D1E6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perceptions</w:t>
            </w:r>
            <w:proofErr w:type="spellEnd"/>
            <w:r w:rsidRPr="00CD1E6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D1E6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of</w:t>
            </w:r>
            <w:proofErr w:type="spellEnd"/>
            <w:r w:rsidRPr="00CD1E6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D1E6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legal</w:t>
            </w:r>
            <w:proofErr w:type="spellEnd"/>
            <w:r w:rsidRPr="00CD1E6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D1E6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actors</w:t>
            </w:r>
            <w:proofErr w:type="spellEnd"/>
            <w:r w:rsidRPr="00CD1E6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D1E6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in</w:t>
            </w:r>
            <w:proofErr w:type="spellEnd"/>
            <w:r w:rsidRPr="00CD1E6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D1E6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criminal</w:t>
            </w:r>
            <w:proofErr w:type="spellEnd"/>
            <w:r w:rsidRPr="00CD1E6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D1E6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courts</w:t>
            </w:r>
            <w:proofErr w:type="spellEnd"/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„</w:t>
            </w:r>
            <w:proofErr w:type="spellStart"/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The</w:t>
            </w:r>
            <w:proofErr w:type="spellEnd"/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Journal</w:t>
            </w:r>
            <w:proofErr w:type="spellEnd"/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of</w:t>
            </w:r>
            <w:proofErr w:type="spellEnd"/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Forensic</w:t>
            </w:r>
            <w:proofErr w:type="spellEnd"/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Psychiatry</w:t>
            </w:r>
            <w:proofErr w:type="spellEnd"/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&amp; </w:t>
            </w:r>
            <w:proofErr w:type="spellStart"/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Psychology</w:t>
            </w:r>
            <w:proofErr w:type="spellEnd"/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“</w:t>
            </w:r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24, </w:t>
            </w:r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2013, nr 2, s. </w:t>
            </w:r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192-204</w:t>
            </w:r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</w:t>
            </w:r>
          </w:p>
          <w:p w14:paraId="4409ACD2" w14:textId="77777777" w:rsidR="008C7424" w:rsidRPr="00CD1E68" w:rsidRDefault="008C7424" w:rsidP="008C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68">
              <w:rPr>
                <w:rFonts w:ascii="Times New Roman" w:hAnsi="Times New Roman" w:cs="Times New Roman"/>
                <w:sz w:val="24"/>
                <w:szCs w:val="24"/>
              </w:rPr>
              <w:t>Уся література, яку студенти не зможуть знайти самостійно, буде надана викладачем лише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14:paraId="462951F8" w14:textId="77777777" w:rsidR="009F5027" w:rsidRPr="00CD1E68" w:rsidRDefault="009F5027" w:rsidP="00721851">
            <w:pPr>
              <w:jc w:val="center"/>
              <w:rPr>
                <w:i/>
                <w:iCs/>
                <w:sz w:val="24"/>
                <w:szCs w:val="24"/>
              </w:rPr>
            </w:pPr>
            <w:r w:rsidRPr="00CD1E68">
              <w:rPr>
                <w:i/>
                <w:iCs/>
                <w:sz w:val="24"/>
                <w:szCs w:val="24"/>
              </w:rPr>
              <w:t>Інформаційні ресурси в Інтернеті:</w:t>
            </w:r>
          </w:p>
          <w:p w14:paraId="3A3A7461" w14:textId="77777777" w:rsidR="009F5027" w:rsidRPr="00CD1E68" w:rsidRDefault="009F5027" w:rsidP="00CD1E68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bookmarkStart w:id="2" w:name="_Hlk67857004"/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https://court.gov.ua/ – офіційний веб портал судової влади в Україні. </w:t>
            </w:r>
          </w:p>
          <w:p w14:paraId="6F8F8C8B" w14:textId="77777777" w:rsidR="009F5027" w:rsidRPr="00CD1E68" w:rsidRDefault="009F5027" w:rsidP="00CD1E68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hyperlink r:id="rId12" w:history="1">
              <w:r w:rsidRPr="00CD1E6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https://supreme.court.gov.ua/</w:t>
              </w:r>
            </w:hyperlink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– офіційний веб портал Верховного Суду</w:t>
            </w:r>
          </w:p>
          <w:p w14:paraId="710FB27E" w14:textId="77777777" w:rsidR="009F5027" w:rsidRPr="00CD1E68" w:rsidRDefault="009F5027" w:rsidP="00CD1E68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http://www.nbuv.gov.ua – сайт Національної бібліотеки України         ім. В.І. Вернадського. </w:t>
            </w:r>
          </w:p>
          <w:p w14:paraId="023F91AD" w14:textId="77777777" w:rsidR="009F5027" w:rsidRPr="00CD1E68" w:rsidRDefault="009F5027" w:rsidP="00CD1E68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http://www.reyestr.court.gov.ua – Єдиний реєстр судових рішень в Україні. </w:t>
            </w:r>
          </w:p>
          <w:p w14:paraId="5BC43DBD" w14:textId="2C7D78E0" w:rsidR="009F5027" w:rsidRPr="00CD1E68" w:rsidRDefault="009F5027" w:rsidP="00CD1E68">
            <w:pPr>
              <w:pStyle w:val="a5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color w:val="auto"/>
                <w:sz w:val="24"/>
                <w:szCs w:val="24"/>
                <w:u w:val="single"/>
                <w:lang w:val="ru-RU" w:eastAsia="uk-UA"/>
              </w:rPr>
            </w:pPr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http://zakon5.rada.gov.ua/laws – законодавство України</w:t>
            </w:r>
            <w:bookmarkEnd w:id="2"/>
          </w:p>
        </w:tc>
      </w:tr>
      <w:tr w:rsidR="00CD1E68" w:rsidRPr="00CD1E68" w14:paraId="7E55D423" w14:textId="77777777" w:rsidTr="0072185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297CA" w14:textId="77777777" w:rsidR="009F5027" w:rsidRPr="00CD1E68" w:rsidRDefault="009F5027" w:rsidP="007218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E68">
              <w:rPr>
                <w:rFonts w:ascii="Times New Roman" w:hAnsi="Times New Roman" w:cs="Times New Roman"/>
                <w:b/>
              </w:rPr>
              <w:lastRenderedPageBreak/>
              <w:t>Тривалість курсу</w:t>
            </w:r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5E457" w14:textId="62047B07" w:rsidR="009F5027" w:rsidRPr="00CD1E68" w:rsidRDefault="009F5027" w:rsidP="00721851">
            <w:pPr>
              <w:jc w:val="both"/>
              <w:rPr>
                <w:rFonts w:ascii="Times New Roman" w:hAnsi="Times New Roman" w:cs="Times New Roman"/>
              </w:rPr>
            </w:pPr>
            <w:r w:rsidRPr="00CD1E68">
              <w:rPr>
                <w:rFonts w:ascii="Times New Roman" w:hAnsi="Times New Roman" w:cs="Times New Roman"/>
              </w:rPr>
              <w:t>1</w:t>
            </w:r>
            <w:r w:rsidR="00501ABD" w:rsidRPr="00CD1E68">
              <w:rPr>
                <w:rFonts w:ascii="Times New Roman" w:hAnsi="Times New Roman" w:cs="Times New Roman"/>
              </w:rPr>
              <w:t>20</w:t>
            </w:r>
            <w:r w:rsidRPr="00CD1E68">
              <w:rPr>
                <w:rFonts w:ascii="Times New Roman" w:hAnsi="Times New Roman" w:cs="Times New Roman"/>
              </w:rPr>
              <w:t xml:space="preserve"> год.</w:t>
            </w:r>
          </w:p>
        </w:tc>
      </w:tr>
      <w:tr w:rsidR="00CD1E68" w:rsidRPr="00CD1E68" w14:paraId="1BDC9224" w14:textId="77777777" w:rsidTr="0072185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850B4" w14:textId="77777777" w:rsidR="009F5027" w:rsidRPr="00CD1E68" w:rsidRDefault="009F5027" w:rsidP="007218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E68">
              <w:rPr>
                <w:rFonts w:ascii="Times New Roman" w:hAnsi="Times New Roman" w:cs="Times New Roman"/>
                <w:b/>
              </w:rPr>
              <w:t>Обсяг курсу</w:t>
            </w:r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CEB52" w14:textId="7781D633" w:rsidR="009F5027" w:rsidRPr="00CD1E68" w:rsidRDefault="009F5027" w:rsidP="00721851">
            <w:pPr>
              <w:jc w:val="both"/>
              <w:rPr>
                <w:rFonts w:ascii="Times New Roman" w:hAnsi="Times New Roman" w:cs="Times New Roman"/>
              </w:rPr>
            </w:pPr>
            <w:r w:rsidRPr="00CD1E68">
              <w:rPr>
                <w:rFonts w:ascii="Times New Roman" w:hAnsi="Times New Roman" w:cs="Times New Roman"/>
              </w:rPr>
              <w:t>Денне відділення: 32</w:t>
            </w:r>
            <w:r w:rsidRPr="00CD1E68">
              <w:rPr>
                <w:rFonts w:ascii="Times New Roman" w:hAnsi="Times New Roman" w:cs="Times New Roman"/>
                <w:b/>
              </w:rPr>
              <w:t xml:space="preserve"> </w:t>
            </w:r>
            <w:r w:rsidRPr="00CD1E68">
              <w:rPr>
                <w:rFonts w:ascii="Times New Roman" w:hAnsi="Times New Roman" w:cs="Times New Roman"/>
              </w:rPr>
              <w:t xml:space="preserve">години аудиторних занять. З них 16 годин лекцій, 16 годин практичних занять, окрім цього, </w:t>
            </w:r>
            <w:r w:rsidR="00501ABD" w:rsidRPr="00CD1E68">
              <w:rPr>
                <w:rFonts w:ascii="Times New Roman" w:hAnsi="Times New Roman" w:cs="Times New Roman"/>
              </w:rPr>
              <w:t>8</w:t>
            </w:r>
            <w:r w:rsidR="00501ABD" w:rsidRPr="00CD1E68">
              <w:rPr>
                <w:rFonts w:ascii="Times New Roman" w:hAnsi="Times New Roman" w:cs="Times New Roman"/>
                <w:lang w:val="ru-RU"/>
              </w:rPr>
              <w:t>8</w:t>
            </w:r>
            <w:r w:rsidRPr="00CD1E68">
              <w:rPr>
                <w:rFonts w:ascii="Times New Roman" w:hAnsi="Times New Roman" w:cs="Times New Roman"/>
              </w:rPr>
              <w:t xml:space="preserve"> години самостійної роботи.</w:t>
            </w:r>
          </w:p>
        </w:tc>
      </w:tr>
      <w:tr w:rsidR="00CD1E68" w:rsidRPr="00CD1E68" w14:paraId="24953904" w14:textId="77777777" w:rsidTr="0072185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F3163" w14:textId="77777777" w:rsidR="009F5027" w:rsidRPr="00CD1E68" w:rsidRDefault="009F5027" w:rsidP="00721851">
            <w:pPr>
              <w:jc w:val="center"/>
              <w:rPr>
                <w:b/>
              </w:rPr>
            </w:pPr>
          </w:p>
          <w:p w14:paraId="487699A7" w14:textId="77777777" w:rsidR="009F5027" w:rsidRPr="00CD1E68" w:rsidRDefault="009F5027" w:rsidP="00721851">
            <w:pPr>
              <w:jc w:val="center"/>
              <w:rPr>
                <w:b/>
              </w:rPr>
            </w:pPr>
          </w:p>
          <w:p w14:paraId="08F16AB9" w14:textId="77777777" w:rsidR="009F5027" w:rsidRPr="00CD1E68" w:rsidRDefault="009F5027" w:rsidP="00721851">
            <w:pPr>
              <w:jc w:val="center"/>
              <w:rPr>
                <w:b/>
              </w:rPr>
            </w:pPr>
          </w:p>
          <w:p w14:paraId="3097E086" w14:textId="77777777" w:rsidR="009F5027" w:rsidRPr="00CD1E68" w:rsidRDefault="009F5027" w:rsidP="00721851">
            <w:pPr>
              <w:jc w:val="center"/>
              <w:rPr>
                <w:b/>
              </w:rPr>
            </w:pPr>
          </w:p>
          <w:p w14:paraId="4D8D39B0" w14:textId="77777777" w:rsidR="009F5027" w:rsidRPr="00CD1E68" w:rsidRDefault="009F5027" w:rsidP="00721851">
            <w:pPr>
              <w:jc w:val="center"/>
              <w:rPr>
                <w:b/>
              </w:rPr>
            </w:pPr>
          </w:p>
          <w:p w14:paraId="3DEAF9F1" w14:textId="77777777" w:rsidR="009F5027" w:rsidRPr="00CD1E68" w:rsidRDefault="009F5027" w:rsidP="00721851">
            <w:pPr>
              <w:jc w:val="center"/>
              <w:rPr>
                <w:b/>
              </w:rPr>
            </w:pPr>
          </w:p>
          <w:p w14:paraId="7A8366B1" w14:textId="77777777" w:rsidR="009F5027" w:rsidRPr="00CD1E68" w:rsidRDefault="009F5027" w:rsidP="00721851">
            <w:pPr>
              <w:jc w:val="center"/>
              <w:rPr>
                <w:b/>
              </w:rPr>
            </w:pPr>
          </w:p>
          <w:p w14:paraId="1E0793D5" w14:textId="77777777" w:rsidR="009F5027" w:rsidRPr="00CD1E68" w:rsidRDefault="009F5027" w:rsidP="00721851">
            <w:pPr>
              <w:jc w:val="center"/>
              <w:rPr>
                <w:b/>
              </w:rPr>
            </w:pPr>
          </w:p>
          <w:p w14:paraId="23BF0BDA" w14:textId="77777777" w:rsidR="009F5027" w:rsidRPr="00CD1E68" w:rsidRDefault="009F5027" w:rsidP="00721851">
            <w:pPr>
              <w:jc w:val="center"/>
              <w:rPr>
                <w:b/>
              </w:rPr>
            </w:pPr>
          </w:p>
          <w:p w14:paraId="733669E2" w14:textId="77777777" w:rsidR="009F5027" w:rsidRPr="00CD1E68" w:rsidRDefault="009F5027" w:rsidP="00721851">
            <w:pPr>
              <w:jc w:val="center"/>
              <w:rPr>
                <w:b/>
              </w:rPr>
            </w:pPr>
          </w:p>
          <w:p w14:paraId="0988EC14" w14:textId="77777777" w:rsidR="009F5027" w:rsidRPr="00CD1E68" w:rsidRDefault="009F5027" w:rsidP="00721851">
            <w:pPr>
              <w:jc w:val="center"/>
              <w:rPr>
                <w:b/>
              </w:rPr>
            </w:pPr>
          </w:p>
          <w:p w14:paraId="64D5812C" w14:textId="77777777" w:rsidR="009F5027" w:rsidRPr="00CD1E68" w:rsidRDefault="009F5027" w:rsidP="00721851">
            <w:pPr>
              <w:jc w:val="center"/>
              <w:rPr>
                <w:b/>
              </w:rPr>
            </w:pPr>
          </w:p>
          <w:p w14:paraId="6DC960E1" w14:textId="77777777" w:rsidR="009F5027" w:rsidRPr="00CD1E68" w:rsidRDefault="009F5027" w:rsidP="00721851">
            <w:pPr>
              <w:jc w:val="center"/>
              <w:rPr>
                <w:b/>
              </w:rPr>
            </w:pPr>
          </w:p>
          <w:p w14:paraId="61968728" w14:textId="77777777" w:rsidR="009F5027" w:rsidRPr="00CD1E68" w:rsidRDefault="009F5027" w:rsidP="00721851">
            <w:pPr>
              <w:jc w:val="center"/>
              <w:rPr>
                <w:b/>
              </w:rPr>
            </w:pPr>
            <w:r w:rsidRPr="00CD1E68">
              <w:rPr>
                <w:b/>
              </w:rPr>
              <w:t>Очікувані результати навчання</w:t>
            </w:r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BE744" w14:textId="77777777" w:rsidR="009F5027" w:rsidRPr="00CD1E68" w:rsidRDefault="009F5027" w:rsidP="00721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68">
              <w:rPr>
                <w:rFonts w:ascii="Times New Roman" w:hAnsi="Times New Roman" w:cs="Times New Roman"/>
                <w:sz w:val="24"/>
                <w:szCs w:val="24"/>
              </w:rPr>
              <w:t xml:space="preserve">Після завершення цього курсу студент буде : </w:t>
            </w:r>
          </w:p>
          <w:p w14:paraId="3773FE76" w14:textId="41DE17CF" w:rsidR="009F5027" w:rsidRPr="00CD1E68" w:rsidRDefault="009F5027" w:rsidP="00721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E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  <w:r w:rsidRPr="00CD1E68">
              <w:rPr>
                <w:rFonts w:ascii="Times New Roman" w:hAnsi="Times New Roman" w:cs="Times New Roman"/>
                <w:b/>
                <w:sz w:val="24"/>
                <w:szCs w:val="24"/>
              </w:rPr>
              <w:t>Знати:</w:t>
            </w:r>
          </w:p>
          <w:p w14:paraId="00FFCAE8" w14:textId="0A00E9C8" w:rsidR="00781B62" w:rsidRPr="00CD1E68" w:rsidRDefault="00781B62" w:rsidP="00501ABD">
            <w:pPr>
              <w:pStyle w:val="22"/>
              <w:numPr>
                <w:ilvl w:val="0"/>
                <w:numId w:val="11"/>
              </w:numPr>
              <w:shd w:val="clear" w:color="auto" w:fill="auto"/>
              <w:tabs>
                <w:tab w:val="left" w:pos="951"/>
              </w:tabs>
              <w:spacing w:line="276" w:lineRule="auto"/>
              <w:ind w:firstLine="360"/>
              <w:rPr>
                <w:sz w:val="24"/>
                <w:szCs w:val="24"/>
              </w:rPr>
            </w:pPr>
            <w:r w:rsidRPr="00CD1E68">
              <w:rPr>
                <w:sz w:val="24"/>
                <w:szCs w:val="24"/>
              </w:rPr>
              <w:t>поняття та критерії спеціальних знань, форми їх використання у кримінальному провадженні;</w:t>
            </w:r>
          </w:p>
          <w:p w14:paraId="6015546D" w14:textId="4811B1D5" w:rsidR="00781B62" w:rsidRPr="00CD1E68" w:rsidRDefault="00781B62" w:rsidP="00501ABD">
            <w:pPr>
              <w:pStyle w:val="22"/>
              <w:numPr>
                <w:ilvl w:val="0"/>
                <w:numId w:val="11"/>
              </w:numPr>
              <w:shd w:val="clear" w:color="auto" w:fill="auto"/>
              <w:tabs>
                <w:tab w:val="left" w:pos="951"/>
              </w:tabs>
              <w:spacing w:line="276" w:lineRule="auto"/>
              <w:ind w:firstLine="360"/>
              <w:rPr>
                <w:sz w:val="24"/>
                <w:szCs w:val="24"/>
              </w:rPr>
            </w:pPr>
            <w:r w:rsidRPr="00CD1E68">
              <w:rPr>
                <w:sz w:val="24"/>
                <w:szCs w:val="24"/>
              </w:rPr>
              <w:t>види допомоги спеціаліста; вимоги, порядок отримання та оцінки висновку спеціаліста у провадженнях про проступки;</w:t>
            </w:r>
          </w:p>
          <w:p w14:paraId="69E01D74" w14:textId="24E12EFB" w:rsidR="00781B62" w:rsidRPr="00CD1E68" w:rsidRDefault="00781B62" w:rsidP="00501ABD">
            <w:pPr>
              <w:pStyle w:val="22"/>
              <w:numPr>
                <w:ilvl w:val="0"/>
                <w:numId w:val="11"/>
              </w:numPr>
              <w:shd w:val="clear" w:color="auto" w:fill="auto"/>
              <w:tabs>
                <w:tab w:val="left" w:pos="951"/>
              </w:tabs>
              <w:spacing w:line="276" w:lineRule="auto"/>
              <w:ind w:firstLine="360"/>
              <w:rPr>
                <w:sz w:val="24"/>
                <w:szCs w:val="24"/>
              </w:rPr>
            </w:pPr>
            <w:r w:rsidRPr="00CD1E68">
              <w:rPr>
                <w:sz w:val="24"/>
                <w:szCs w:val="24"/>
              </w:rPr>
              <w:t>правила використання в доказуванні актів ревізій та перевірок;</w:t>
            </w:r>
          </w:p>
          <w:p w14:paraId="6DD426BA" w14:textId="1E4D826C" w:rsidR="00781B62" w:rsidRPr="00CD1E68" w:rsidRDefault="00781B62" w:rsidP="00501ABD">
            <w:pPr>
              <w:pStyle w:val="22"/>
              <w:numPr>
                <w:ilvl w:val="0"/>
                <w:numId w:val="11"/>
              </w:numPr>
              <w:shd w:val="clear" w:color="auto" w:fill="auto"/>
              <w:tabs>
                <w:tab w:val="left" w:pos="951"/>
              </w:tabs>
              <w:spacing w:line="276" w:lineRule="auto"/>
              <w:ind w:firstLine="360"/>
              <w:rPr>
                <w:sz w:val="24"/>
                <w:szCs w:val="24"/>
              </w:rPr>
            </w:pPr>
            <w:r w:rsidRPr="00CD1E68">
              <w:rPr>
                <w:sz w:val="24"/>
                <w:szCs w:val="24"/>
              </w:rPr>
              <w:t>правила залучення у доказову базу відомостей, що генеруються на основі перевірки за різноманітними обліками та реєстрами;</w:t>
            </w:r>
          </w:p>
          <w:p w14:paraId="51D8814F" w14:textId="360F38B8" w:rsidR="00501ABD" w:rsidRPr="00CD1E68" w:rsidRDefault="00501ABD" w:rsidP="00501ABD">
            <w:pPr>
              <w:pStyle w:val="22"/>
              <w:numPr>
                <w:ilvl w:val="0"/>
                <w:numId w:val="11"/>
              </w:numPr>
              <w:shd w:val="clear" w:color="auto" w:fill="auto"/>
              <w:tabs>
                <w:tab w:val="left" w:pos="951"/>
              </w:tabs>
              <w:spacing w:line="276" w:lineRule="auto"/>
              <w:ind w:firstLine="360"/>
              <w:rPr>
                <w:sz w:val="24"/>
                <w:szCs w:val="24"/>
              </w:rPr>
            </w:pPr>
            <w:r w:rsidRPr="00CD1E68">
              <w:rPr>
                <w:sz w:val="24"/>
                <w:szCs w:val="24"/>
                <w:lang w:eastAsia="uk-UA" w:bidi="uk-UA"/>
              </w:rPr>
              <w:t>теоретичні, процесуальні та організаційні засади проведення судових експертиз;</w:t>
            </w:r>
          </w:p>
          <w:p w14:paraId="75EF8D23" w14:textId="1C1F2F68" w:rsidR="00501ABD" w:rsidRPr="00CD1E68" w:rsidRDefault="00501ABD" w:rsidP="00501ABD">
            <w:pPr>
              <w:numPr>
                <w:ilvl w:val="0"/>
                <w:numId w:val="11"/>
              </w:numPr>
              <w:spacing w:after="0" w:line="276" w:lineRule="auto"/>
              <w:ind w:firstLine="7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68">
              <w:rPr>
                <w:rFonts w:ascii="Times New Roman" w:hAnsi="Times New Roman" w:cs="Times New Roman"/>
                <w:sz w:val="24"/>
                <w:szCs w:val="24"/>
              </w:rPr>
              <w:t>класифікацію судових експертиз</w:t>
            </w:r>
            <w:r w:rsidR="00781B62" w:rsidRPr="00CD1E6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781B62" w:rsidRPr="00CD1E68">
              <w:rPr>
                <w:rFonts w:ascii="Times New Roman" w:hAnsi="Times New Roman" w:cs="Times New Roman"/>
                <w:sz w:val="24"/>
                <w:szCs w:val="24"/>
              </w:rPr>
              <w:t>експетних</w:t>
            </w:r>
            <w:proofErr w:type="spellEnd"/>
            <w:r w:rsidR="00781B62" w:rsidRPr="00CD1E68">
              <w:rPr>
                <w:rFonts w:ascii="Times New Roman" w:hAnsi="Times New Roman" w:cs="Times New Roman"/>
                <w:sz w:val="24"/>
                <w:szCs w:val="24"/>
              </w:rPr>
              <w:t xml:space="preserve"> спеціальностей</w:t>
            </w:r>
            <w:r w:rsidRPr="00CD1E68">
              <w:rPr>
                <w:rFonts w:ascii="Times New Roman" w:hAnsi="Times New Roman" w:cs="Times New Roman"/>
                <w:sz w:val="24"/>
                <w:szCs w:val="24"/>
              </w:rPr>
              <w:t xml:space="preserve"> за предметним критері</w:t>
            </w:r>
            <w:r w:rsidR="00781B62" w:rsidRPr="00CD1E68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CD1E68">
              <w:rPr>
                <w:rFonts w:ascii="Times New Roman" w:hAnsi="Times New Roman" w:cs="Times New Roman"/>
                <w:sz w:val="24"/>
                <w:szCs w:val="24"/>
              </w:rPr>
              <w:t xml:space="preserve">м; </w:t>
            </w:r>
            <w:r w:rsidR="00781B62" w:rsidRPr="00CD1E68">
              <w:rPr>
                <w:rFonts w:ascii="Times New Roman" w:hAnsi="Times New Roman" w:cs="Times New Roman"/>
                <w:sz w:val="24"/>
                <w:szCs w:val="24"/>
              </w:rPr>
              <w:t>правила підшукування судових експертів для виконання необхідних експертиз;</w:t>
            </w:r>
          </w:p>
          <w:p w14:paraId="736A5AAE" w14:textId="732770A6" w:rsidR="00781B62" w:rsidRPr="00CD1E68" w:rsidRDefault="00781B62" w:rsidP="00501ABD">
            <w:pPr>
              <w:numPr>
                <w:ilvl w:val="0"/>
                <w:numId w:val="11"/>
              </w:numPr>
              <w:spacing w:after="0" w:line="276" w:lineRule="auto"/>
              <w:ind w:firstLine="7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68">
              <w:rPr>
                <w:rFonts w:ascii="Times New Roman" w:hAnsi="Times New Roman" w:cs="Times New Roman"/>
                <w:sz w:val="24"/>
                <w:szCs w:val="24"/>
              </w:rPr>
              <w:t>класифікацію судових експертиз за організаційно-процесуальними критеріями та її врахування під час підбору, відводів експерта, оформлення його висновку та особливостей оцінки кожного різновиду</w:t>
            </w:r>
          </w:p>
          <w:p w14:paraId="0F739671" w14:textId="243E0E1C" w:rsidR="00F74DC9" w:rsidRPr="00CD1E68" w:rsidRDefault="00F74DC9" w:rsidP="00F74DC9">
            <w:pPr>
              <w:pStyle w:val="22"/>
              <w:numPr>
                <w:ilvl w:val="0"/>
                <w:numId w:val="11"/>
              </w:numPr>
              <w:shd w:val="clear" w:color="auto" w:fill="auto"/>
              <w:tabs>
                <w:tab w:val="left" w:pos="1083"/>
              </w:tabs>
              <w:spacing w:line="276" w:lineRule="auto"/>
              <w:ind w:firstLine="740"/>
              <w:rPr>
                <w:sz w:val="24"/>
                <w:szCs w:val="24"/>
              </w:rPr>
            </w:pPr>
            <w:r w:rsidRPr="00CD1E68">
              <w:rPr>
                <w:sz w:val="24"/>
                <w:szCs w:val="24"/>
                <w:lang w:eastAsia="uk-UA" w:bidi="uk-UA"/>
              </w:rPr>
              <w:t>порядок отримання зразків для порівняльного дослідження (вільних, умовно вільних, експериментальних);</w:t>
            </w:r>
            <w:r w:rsidRPr="00CD1E68">
              <w:rPr>
                <w:sz w:val="24"/>
                <w:szCs w:val="24"/>
                <w:lang w:eastAsia="uk-UA" w:bidi="uk-UA"/>
              </w:rPr>
              <w:t xml:space="preserve"> </w:t>
            </w:r>
          </w:p>
          <w:p w14:paraId="7BB01100" w14:textId="291E2339" w:rsidR="00F74DC9" w:rsidRPr="00CD1E68" w:rsidRDefault="00F74DC9" w:rsidP="00F74DC9">
            <w:pPr>
              <w:pStyle w:val="22"/>
              <w:numPr>
                <w:ilvl w:val="0"/>
                <w:numId w:val="11"/>
              </w:numPr>
              <w:shd w:val="clear" w:color="auto" w:fill="auto"/>
              <w:tabs>
                <w:tab w:val="left" w:pos="1083"/>
              </w:tabs>
              <w:spacing w:line="276" w:lineRule="auto"/>
              <w:ind w:firstLine="740"/>
              <w:rPr>
                <w:sz w:val="24"/>
                <w:szCs w:val="24"/>
              </w:rPr>
            </w:pPr>
            <w:r w:rsidRPr="00CD1E68">
              <w:rPr>
                <w:sz w:val="24"/>
                <w:szCs w:val="24"/>
                <w:lang w:eastAsia="uk-UA" w:bidi="uk-UA"/>
              </w:rPr>
              <w:t>тактику підготовки до проведення судової експертизи та взаємодії з експертом на стадії виконання експертного дослідження.</w:t>
            </w:r>
          </w:p>
          <w:p w14:paraId="6D2557CE" w14:textId="0571171B" w:rsidR="00501ABD" w:rsidRPr="00CD1E68" w:rsidRDefault="00781B62" w:rsidP="00501ABD">
            <w:pPr>
              <w:pStyle w:val="22"/>
              <w:numPr>
                <w:ilvl w:val="0"/>
                <w:numId w:val="11"/>
              </w:numPr>
              <w:shd w:val="clear" w:color="auto" w:fill="auto"/>
              <w:tabs>
                <w:tab w:val="left" w:pos="1091"/>
              </w:tabs>
              <w:spacing w:line="276" w:lineRule="auto"/>
              <w:ind w:firstLine="740"/>
              <w:rPr>
                <w:sz w:val="24"/>
                <w:szCs w:val="24"/>
              </w:rPr>
            </w:pPr>
            <w:r w:rsidRPr="00CD1E68">
              <w:rPr>
                <w:sz w:val="24"/>
                <w:szCs w:val="24"/>
                <w:lang w:eastAsia="uk-UA" w:bidi="uk-UA"/>
              </w:rPr>
              <w:t xml:space="preserve">загальну </w:t>
            </w:r>
            <w:r w:rsidR="00501ABD" w:rsidRPr="00CD1E68">
              <w:rPr>
                <w:sz w:val="24"/>
                <w:szCs w:val="24"/>
                <w:lang w:eastAsia="uk-UA" w:bidi="uk-UA"/>
              </w:rPr>
              <w:t xml:space="preserve">структуру та стадії загальної експертної методики та </w:t>
            </w:r>
            <w:r w:rsidR="00501ABD" w:rsidRPr="00CD1E68">
              <w:rPr>
                <w:sz w:val="24"/>
                <w:szCs w:val="24"/>
                <w:lang w:eastAsia="uk-UA" w:bidi="uk-UA"/>
              </w:rPr>
              <w:lastRenderedPageBreak/>
              <w:t>експертних методик різних видів;</w:t>
            </w:r>
            <w:r w:rsidRPr="00CD1E68">
              <w:rPr>
                <w:sz w:val="24"/>
                <w:szCs w:val="24"/>
                <w:lang w:eastAsia="uk-UA" w:bidi="uk-UA"/>
              </w:rPr>
              <w:t xml:space="preserve"> порядок проходження </w:t>
            </w:r>
            <w:r w:rsidR="00501ABD" w:rsidRPr="00CD1E68">
              <w:rPr>
                <w:sz w:val="24"/>
                <w:szCs w:val="24"/>
                <w:lang w:eastAsia="uk-UA" w:bidi="uk-UA"/>
              </w:rPr>
              <w:t>атестаці</w:t>
            </w:r>
            <w:r w:rsidRPr="00CD1E68">
              <w:rPr>
                <w:sz w:val="24"/>
                <w:szCs w:val="24"/>
                <w:lang w:eastAsia="uk-UA" w:bidi="uk-UA"/>
              </w:rPr>
              <w:t>ї</w:t>
            </w:r>
            <w:r w:rsidR="00501ABD" w:rsidRPr="00CD1E68">
              <w:rPr>
                <w:sz w:val="24"/>
                <w:szCs w:val="24"/>
                <w:lang w:eastAsia="uk-UA" w:bidi="uk-UA"/>
              </w:rPr>
              <w:t xml:space="preserve"> та реєстраці</w:t>
            </w:r>
            <w:r w:rsidRPr="00CD1E68">
              <w:rPr>
                <w:sz w:val="24"/>
                <w:szCs w:val="24"/>
                <w:lang w:eastAsia="uk-UA" w:bidi="uk-UA"/>
              </w:rPr>
              <w:t>ї</w:t>
            </w:r>
            <w:r w:rsidR="00501ABD" w:rsidRPr="00CD1E68">
              <w:rPr>
                <w:sz w:val="24"/>
                <w:szCs w:val="24"/>
                <w:lang w:eastAsia="uk-UA" w:bidi="uk-UA"/>
              </w:rPr>
              <w:t xml:space="preserve"> </w:t>
            </w:r>
            <w:r w:rsidRPr="00CD1E68">
              <w:rPr>
                <w:sz w:val="24"/>
                <w:szCs w:val="24"/>
                <w:lang w:eastAsia="uk-UA" w:bidi="uk-UA"/>
              </w:rPr>
              <w:t>судово-</w:t>
            </w:r>
            <w:r w:rsidR="00501ABD" w:rsidRPr="00CD1E68">
              <w:rPr>
                <w:sz w:val="24"/>
                <w:szCs w:val="24"/>
                <w:lang w:eastAsia="uk-UA" w:bidi="uk-UA"/>
              </w:rPr>
              <w:t>експертних методик;</w:t>
            </w:r>
          </w:p>
          <w:p w14:paraId="4CA66A27" w14:textId="77777777" w:rsidR="00501ABD" w:rsidRPr="00CD1E68" w:rsidRDefault="00501ABD" w:rsidP="00501ABD">
            <w:pPr>
              <w:numPr>
                <w:ilvl w:val="0"/>
                <w:numId w:val="11"/>
              </w:numPr>
              <w:tabs>
                <w:tab w:val="left" w:pos="1091"/>
              </w:tabs>
              <w:spacing w:after="0" w:line="276" w:lineRule="auto"/>
              <w:ind w:firstLine="7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68">
              <w:rPr>
                <w:rFonts w:ascii="Times New Roman" w:hAnsi="Times New Roman" w:cs="Times New Roman"/>
                <w:sz w:val="24"/>
                <w:szCs w:val="24"/>
              </w:rPr>
              <w:t>структуру та вимоги до висновку експерта як документа за результатами експертного дослідження;</w:t>
            </w:r>
            <w:r w:rsidRPr="00CD1E68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 порядок оформлення результатів експертних досліджень;</w:t>
            </w:r>
          </w:p>
          <w:p w14:paraId="27433ECC" w14:textId="0855786B" w:rsidR="00501ABD" w:rsidRPr="00CD1E68" w:rsidRDefault="00501ABD" w:rsidP="00501ABD">
            <w:pPr>
              <w:numPr>
                <w:ilvl w:val="0"/>
                <w:numId w:val="11"/>
              </w:numPr>
              <w:tabs>
                <w:tab w:val="left" w:pos="1091"/>
              </w:tabs>
              <w:spacing w:after="0" w:line="276" w:lineRule="auto"/>
              <w:ind w:firstLine="7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68">
              <w:rPr>
                <w:rFonts w:ascii="Times New Roman" w:hAnsi="Times New Roman" w:cs="Times New Roman"/>
                <w:sz w:val="24"/>
                <w:szCs w:val="24"/>
              </w:rPr>
              <w:t>загальні правила оцінки висновку експерта;</w:t>
            </w:r>
            <w:r w:rsidR="00781B62" w:rsidRPr="00CD1E68">
              <w:rPr>
                <w:rFonts w:ascii="Times New Roman" w:hAnsi="Times New Roman" w:cs="Times New Roman"/>
                <w:sz w:val="24"/>
                <w:szCs w:val="24"/>
              </w:rPr>
              <w:t xml:space="preserve"> позиції ККС ВС щодо оцінки висновку експерта;</w:t>
            </w:r>
          </w:p>
          <w:p w14:paraId="51F95CF6" w14:textId="1F0F6E3E" w:rsidR="00F74DC9" w:rsidRPr="00CD1E68" w:rsidRDefault="00F74DC9" w:rsidP="00501ABD">
            <w:pPr>
              <w:numPr>
                <w:ilvl w:val="0"/>
                <w:numId w:val="11"/>
              </w:numPr>
              <w:tabs>
                <w:tab w:val="left" w:pos="1091"/>
              </w:tabs>
              <w:spacing w:after="0" w:line="276" w:lineRule="auto"/>
              <w:ind w:firstLine="7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68">
              <w:rPr>
                <w:rFonts w:ascii="Times New Roman" w:hAnsi="Times New Roman" w:cs="Times New Roman"/>
                <w:sz w:val="24"/>
                <w:szCs w:val="24"/>
              </w:rPr>
              <w:t>практику ЄСПЛ щодо використання в доказуванні висновку експерт</w:t>
            </w:r>
            <w:r w:rsidR="00184C73" w:rsidRPr="00CD1E68">
              <w:rPr>
                <w:rFonts w:ascii="Times New Roman" w:hAnsi="Times New Roman" w:cs="Times New Roman"/>
                <w:sz w:val="24"/>
                <w:szCs w:val="24"/>
              </w:rPr>
              <w:t>а в контексті реалізації права на справедливий суд (ст.6 ЄКПЛ) та на ефективний засіб правового захисту (ст. 13 ЄКПЛ)</w:t>
            </w:r>
            <w:r w:rsidRPr="00CD1E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6176CB4" w14:textId="193BD9F5" w:rsidR="00501ABD" w:rsidRPr="00CD1E68" w:rsidRDefault="00501ABD" w:rsidP="00501ABD">
            <w:pPr>
              <w:pStyle w:val="22"/>
              <w:numPr>
                <w:ilvl w:val="0"/>
                <w:numId w:val="11"/>
              </w:numPr>
              <w:shd w:val="clear" w:color="auto" w:fill="auto"/>
              <w:tabs>
                <w:tab w:val="left" w:pos="1091"/>
              </w:tabs>
              <w:spacing w:line="276" w:lineRule="auto"/>
              <w:ind w:firstLine="740"/>
              <w:jc w:val="left"/>
              <w:rPr>
                <w:sz w:val="24"/>
                <w:szCs w:val="24"/>
              </w:rPr>
            </w:pPr>
            <w:r w:rsidRPr="00CD1E68">
              <w:rPr>
                <w:sz w:val="24"/>
                <w:szCs w:val="24"/>
                <w:lang w:eastAsia="uk-UA" w:bidi="uk-UA"/>
              </w:rPr>
              <w:t>процесуальний статус і  зміст діяльності експерта і спеціаліста;</w:t>
            </w:r>
            <w:r w:rsidR="00781B62" w:rsidRPr="00CD1E68">
              <w:rPr>
                <w:sz w:val="24"/>
                <w:szCs w:val="24"/>
                <w:lang w:eastAsia="uk-UA" w:bidi="uk-UA"/>
              </w:rPr>
              <w:t xml:space="preserve"> </w:t>
            </w:r>
            <w:r w:rsidRPr="00CD1E68">
              <w:rPr>
                <w:sz w:val="24"/>
                <w:szCs w:val="24"/>
                <w:lang w:eastAsia="uk-UA" w:bidi="uk-UA"/>
              </w:rPr>
              <w:t>підстави та межі юридичної відповідальності експерта за порушення чинного законодавства;</w:t>
            </w:r>
          </w:p>
          <w:p w14:paraId="6BB1ECD6" w14:textId="77777777" w:rsidR="00501ABD" w:rsidRPr="00CD1E68" w:rsidRDefault="00501ABD" w:rsidP="00501ABD">
            <w:pPr>
              <w:pStyle w:val="22"/>
              <w:numPr>
                <w:ilvl w:val="0"/>
                <w:numId w:val="11"/>
              </w:numPr>
              <w:shd w:val="clear" w:color="auto" w:fill="auto"/>
              <w:tabs>
                <w:tab w:val="left" w:pos="1091"/>
              </w:tabs>
              <w:spacing w:line="276" w:lineRule="auto"/>
              <w:ind w:firstLine="740"/>
              <w:rPr>
                <w:sz w:val="24"/>
                <w:szCs w:val="24"/>
              </w:rPr>
            </w:pPr>
            <w:r w:rsidRPr="00CD1E68">
              <w:rPr>
                <w:sz w:val="24"/>
                <w:szCs w:val="24"/>
                <w:lang w:eastAsia="uk-UA" w:bidi="uk-UA"/>
              </w:rPr>
              <w:t>систему експертних установ в Україні, їх правовий статус, завдання і функції, організацію діяльності;</w:t>
            </w:r>
          </w:p>
          <w:p w14:paraId="23D7B778" w14:textId="410FE534" w:rsidR="00501ABD" w:rsidRPr="00CD1E68" w:rsidRDefault="00F74DC9" w:rsidP="00501ABD">
            <w:pPr>
              <w:pStyle w:val="22"/>
              <w:numPr>
                <w:ilvl w:val="0"/>
                <w:numId w:val="11"/>
              </w:numPr>
              <w:shd w:val="clear" w:color="auto" w:fill="auto"/>
              <w:tabs>
                <w:tab w:val="left" w:pos="1083"/>
              </w:tabs>
              <w:spacing w:line="276" w:lineRule="auto"/>
              <w:ind w:firstLine="740"/>
              <w:rPr>
                <w:sz w:val="24"/>
                <w:szCs w:val="24"/>
              </w:rPr>
            </w:pPr>
            <w:r w:rsidRPr="00CD1E68">
              <w:rPr>
                <w:sz w:val="24"/>
                <w:szCs w:val="24"/>
                <w:lang w:eastAsia="uk-UA" w:bidi="uk-UA"/>
              </w:rPr>
              <w:t>організаці</w:t>
            </w:r>
            <w:r w:rsidRPr="00CD1E68">
              <w:rPr>
                <w:sz w:val="24"/>
                <w:szCs w:val="24"/>
                <w:lang w:eastAsia="uk-UA" w:bidi="uk-UA"/>
              </w:rPr>
              <w:t>ю</w:t>
            </w:r>
            <w:r w:rsidRPr="00CD1E68">
              <w:rPr>
                <w:sz w:val="24"/>
                <w:szCs w:val="24"/>
                <w:lang w:eastAsia="uk-UA" w:bidi="uk-UA"/>
              </w:rPr>
              <w:t xml:space="preserve"> судово-експертної діяльності</w:t>
            </w:r>
            <w:r w:rsidRPr="00CD1E68">
              <w:rPr>
                <w:sz w:val="24"/>
                <w:szCs w:val="24"/>
                <w:lang w:eastAsia="uk-UA" w:bidi="uk-UA"/>
              </w:rPr>
              <w:t xml:space="preserve"> у державах Ради Європи</w:t>
            </w:r>
            <w:r w:rsidR="00184C73" w:rsidRPr="00CD1E68">
              <w:rPr>
                <w:sz w:val="24"/>
                <w:szCs w:val="24"/>
                <w:lang w:eastAsia="uk-UA" w:bidi="uk-UA"/>
              </w:rPr>
              <w:t xml:space="preserve"> та системах загального права</w:t>
            </w:r>
            <w:r w:rsidR="00501ABD" w:rsidRPr="00CD1E68">
              <w:rPr>
                <w:sz w:val="24"/>
                <w:szCs w:val="24"/>
                <w:lang w:eastAsia="uk-UA" w:bidi="uk-UA"/>
              </w:rPr>
              <w:t>;</w:t>
            </w:r>
          </w:p>
          <w:p w14:paraId="58183450" w14:textId="20C4FE7F" w:rsidR="00F74DC9" w:rsidRPr="00CD1E68" w:rsidRDefault="00F74DC9" w:rsidP="00501ABD">
            <w:pPr>
              <w:pStyle w:val="22"/>
              <w:numPr>
                <w:ilvl w:val="0"/>
                <w:numId w:val="11"/>
              </w:numPr>
              <w:shd w:val="clear" w:color="auto" w:fill="auto"/>
              <w:tabs>
                <w:tab w:val="left" w:pos="1083"/>
              </w:tabs>
              <w:spacing w:line="276" w:lineRule="auto"/>
              <w:ind w:firstLine="740"/>
              <w:rPr>
                <w:sz w:val="24"/>
                <w:szCs w:val="24"/>
              </w:rPr>
            </w:pPr>
            <w:r w:rsidRPr="00CD1E68">
              <w:rPr>
                <w:sz w:val="24"/>
                <w:szCs w:val="24"/>
              </w:rPr>
              <w:t>предмет (можливості), особливості підготовки та проведення найпоширеніших у практиці класів судових експертиз – криміналістичних, матеріалознавчих, технічних.</w:t>
            </w:r>
          </w:p>
          <w:p w14:paraId="419C19EC" w14:textId="6BD0E6F5" w:rsidR="00F74DC9" w:rsidRPr="00CD1E68" w:rsidRDefault="00F74DC9" w:rsidP="00F74DC9">
            <w:pPr>
              <w:pStyle w:val="22"/>
              <w:shd w:val="clear" w:color="auto" w:fill="auto"/>
              <w:tabs>
                <w:tab w:val="left" w:pos="1083"/>
              </w:tabs>
              <w:spacing w:line="276" w:lineRule="auto"/>
              <w:ind w:left="740" w:firstLine="0"/>
              <w:rPr>
                <w:sz w:val="24"/>
                <w:szCs w:val="24"/>
              </w:rPr>
            </w:pPr>
          </w:p>
          <w:p w14:paraId="788F6C70" w14:textId="77777777" w:rsidR="009F5027" w:rsidRPr="00CD1E68" w:rsidRDefault="009F5027" w:rsidP="00721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E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  <w:r w:rsidRPr="00CD1E68">
              <w:rPr>
                <w:rFonts w:ascii="Times New Roman" w:hAnsi="Times New Roman" w:cs="Times New Roman"/>
                <w:b/>
                <w:sz w:val="24"/>
                <w:szCs w:val="24"/>
              </w:rPr>
              <w:t>Вміти:</w:t>
            </w:r>
          </w:p>
          <w:p w14:paraId="796AB837" w14:textId="72CCF69F" w:rsidR="00F74DC9" w:rsidRPr="00CD1E68" w:rsidRDefault="00F74DC9" w:rsidP="00F74DC9">
            <w:pPr>
              <w:pStyle w:val="a5"/>
              <w:numPr>
                <w:ilvl w:val="0"/>
                <w:numId w:val="12"/>
              </w:numPr>
              <w:tabs>
                <w:tab w:val="left" w:pos="1440"/>
              </w:tabs>
              <w:spacing w:after="0"/>
              <w:ind w:left="0" w:firstLine="7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CD1E68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аналізувати положення КПК, ЗУ «Про судову експертизу», нормативних актів Мін</w:t>
            </w:r>
            <w:r w:rsidRPr="00CD1E68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істерства юстиції </w:t>
            </w:r>
            <w:r w:rsidRPr="00CD1E68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щодо судово-експертної діяльності</w:t>
            </w:r>
            <w:r w:rsidRPr="00CD1E68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 та</w:t>
            </w:r>
            <w:r w:rsidRPr="00CD1E68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 проведення судових експертиз;</w:t>
            </w:r>
          </w:p>
          <w:p w14:paraId="0E2A08ED" w14:textId="77777777" w:rsidR="00F74DC9" w:rsidRPr="00CD1E68" w:rsidRDefault="00F74DC9" w:rsidP="00F74DC9">
            <w:pPr>
              <w:numPr>
                <w:ilvl w:val="0"/>
                <w:numId w:val="12"/>
              </w:numPr>
              <w:spacing w:after="0" w:line="276" w:lineRule="auto"/>
              <w:ind w:left="0" w:firstLine="7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E68">
              <w:rPr>
                <w:rFonts w:ascii="Times New Roman" w:hAnsi="Times New Roman"/>
                <w:sz w:val="24"/>
                <w:szCs w:val="24"/>
              </w:rPr>
              <w:t xml:space="preserve">складати постанови про залучення експерта та доручення йому проведення основної, додаткової, повторної, комісійної, комплексної судової експертизи в експертній установі та поза експертною установою; </w:t>
            </w:r>
          </w:p>
          <w:p w14:paraId="7DA511C8" w14:textId="77777777" w:rsidR="00F74DC9" w:rsidRPr="00CD1E68" w:rsidRDefault="00F74DC9" w:rsidP="00F74DC9">
            <w:pPr>
              <w:numPr>
                <w:ilvl w:val="0"/>
                <w:numId w:val="12"/>
              </w:numPr>
              <w:spacing w:after="0" w:line="276" w:lineRule="auto"/>
              <w:ind w:left="0" w:firstLine="7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E68">
              <w:rPr>
                <w:rFonts w:ascii="Times New Roman" w:hAnsi="Times New Roman"/>
                <w:sz w:val="24"/>
                <w:szCs w:val="24"/>
              </w:rPr>
              <w:t>готувати матеріали для експертиз – відбирати (одержувати), оформлювати, упаковувати, направляти об’єкти дослідження на експертизу;</w:t>
            </w:r>
          </w:p>
          <w:p w14:paraId="40A833DF" w14:textId="15DC232B" w:rsidR="00F74DC9" w:rsidRPr="00CD1E68" w:rsidRDefault="00F74DC9" w:rsidP="00F74DC9">
            <w:pPr>
              <w:numPr>
                <w:ilvl w:val="0"/>
                <w:numId w:val="12"/>
              </w:numPr>
              <w:shd w:val="clear" w:color="auto" w:fill="FFFFFF"/>
              <w:spacing w:after="0" w:line="276" w:lineRule="auto"/>
              <w:ind w:left="0" w:firstLine="7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E68">
              <w:rPr>
                <w:rFonts w:ascii="Times New Roman" w:hAnsi="Times New Roman"/>
                <w:sz w:val="24"/>
                <w:szCs w:val="24"/>
              </w:rPr>
              <w:t>виявл</w:t>
            </w:r>
            <w:r w:rsidR="008D63E4" w:rsidRPr="00CD1E68">
              <w:rPr>
                <w:rFonts w:ascii="Times New Roman" w:hAnsi="Times New Roman"/>
                <w:sz w:val="24"/>
                <w:szCs w:val="24"/>
              </w:rPr>
              <w:t>яти</w:t>
            </w:r>
            <w:r w:rsidRPr="00CD1E68">
              <w:rPr>
                <w:rFonts w:ascii="Times New Roman" w:hAnsi="Times New Roman"/>
                <w:sz w:val="24"/>
                <w:szCs w:val="24"/>
              </w:rPr>
              <w:t>, вилуч</w:t>
            </w:r>
            <w:r w:rsidR="008D63E4" w:rsidRPr="00CD1E68">
              <w:rPr>
                <w:rFonts w:ascii="Times New Roman" w:hAnsi="Times New Roman"/>
                <w:sz w:val="24"/>
                <w:szCs w:val="24"/>
              </w:rPr>
              <w:t>ати</w:t>
            </w:r>
            <w:r w:rsidRPr="00CD1E68">
              <w:rPr>
                <w:rFonts w:ascii="Times New Roman" w:hAnsi="Times New Roman"/>
                <w:sz w:val="24"/>
                <w:szCs w:val="24"/>
              </w:rPr>
              <w:t xml:space="preserve"> вільн</w:t>
            </w:r>
            <w:r w:rsidR="008D63E4" w:rsidRPr="00CD1E68">
              <w:rPr>
                <w:rFonts w:ascii="Times New Roman" w:hAnsi="Times New Roman"/>
                <w:sz w:val="24"/>
                <w:szCs w:val="24"/>
              </w:rPr>
              <w:t>і</w:t>
            </w:r>
            <w:r w:rsidRPr="00CD1E68">
              <w:rPr>
                <w:rFonts w:ascii="Times New Roman" w:hAnsi="Times New Roman"/>
                <w:sz w:val="24"/>
                <w:szCs w:val="24"/>
              </w:rPr>
              <w:t xml:space="preserve"> та відб</w:t>
            </w:r>
            <w:r w:rsidR="008D63E4" w:rsidRPr="00CD1E68">
              <w:rPr>
                <w:rFonts w:ascii="Times New Roman" w:hAnsi="Times New Roman"/>
                <w:sz w:val="24"/>
                <w:szCs w:val="24"/>
              </w:rPr>
              <w:t>ирати</w:t>
            </w:r>
            <w:r w:rsidRPr="00CD1E68">
              <w:rPr>
                <w:rFonts w:ascii="Times New Roman" w:hAnsi="Times New Roman"/>
                <w:sz w:val="24"/>
                <w:szCs w:val="24"/>
              </w:rPr>
              <w:t xml:space="preserve"> експериментальн</w:t>
            </w:r>
            <w:r w:rsidR="008D63E4" w:rsidRPr="00CD1E68">
              <w:rPr>
                <w:rFonts w:ascii="Times New Roman" w:hAnsi="Times New Roman"/>
                <w:sz w:val="24"/>
                <w:szCs w:val="24"/>
              </w:rPr>
              <w:t>і</w:t>
            </w:r>
            <w:r w:rsidRPr="00CD1E68">
              <w:rPr>
                <w:rFonts w:ascii="Times New Roman" w:hAnsi="Times New Roman"/>
                <w:sz w:val="24"/>
                <w:szCs w:val="24"/>
              </w:rPr>
              <w:t xml:space="preserve"> зразк</w:t>
            </w:r>
            <w:r w:rsidR="008D63E4" w:rsidRPr="00CD1E68">
              <w:rPr>
                <w:rFonts w:ascii="Times New Roman" w:hAnsi="Times New Roman"/>
                <w:sz w:val="24"/>
                <w:szCs w:val="24"/>
              </w:rPr>
              <w:t>и</w:t>
            </w:r>
            <w:r w:rsidRPr="00CD1E68">
              <w:rPr>
                <w:rFonts w:ascii="Times New Roman" w:hAnsi="Times New Roman"/>
                <w:sz w:val="24"/>
                <w:szCs w:val="24"/>
              </w:rPr>
              <w:t xml:space="preserve"> для порівняльного дослідження</w:t>
            </w:r>
            <w:r w:rsidR="008D63E4" w:rsidRPr="00CD1E68">
              <w:rPr>
                <w:rFonts w:ascii="Times New Roman" w:hAnsi="Times New Roman"/>
                <w:sz w:val="24"/>
                <w:szCs w:val="24"/>
              </w:rPr>
              <w:t>, правильно упаковувати та оформляти їх</w:t>
            </w:r>
            <w:r w:rsidRPr="00CD1E6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FDAC290" w14:textId="66C810DB" w:rsidR="00F74DC9" w:rsidRPr="00CD1E68" w:rsidRDefault="00F74DC9" w:rsidP="00F74DC9">
            <w:pPr>
              <w:numPr>
                <w:ilvl w:val="0"/>
                <w:numId w:val="12"/>
              </w:numPr>
              <w:shd w:val="clear" w:color="auto" w:fill="FFFFFF"/>
              <w:spacing w:after="0" w:line="276" w:lineRule="auto"/>
              <w:ind w:left="0" w:firstLine="7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E68">
              <w:rPr>
                <w:rFonts w:ascii="Times New Roman" w:hAnsi="Times New Roman"/>
                <w:sz w:val="24"/>
                <w:szCs w:val="24"/>
              </w:rPr>
              <w:t>використовувати довідково-допоміжні криміналістичні обліки</w:t>
            </w:r>
            <w:r w:rsidR="008D63E4" w:rsidRPr="00CD1E6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666CBE7" w14:textId="5FEDB13D" w:rsidR="00F74DC9" w:rsidRPr="00CD1E68" w:rsidRDefault="00F74DC9" w:rsidP="00F74DC9">
            <w:pPr>
              <w:numPr>
                <w:ilvl w:val="0"/>
                <w:numId w:val="12"/>
              </w:numPr>
              <w:spacing w:after="0" w:line="276" w:lineRule="auto"/>
              <w:ind w:left="0" w:firstLine="7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E68">
              <w:rPr>
                <w:rFonts w:ascii="Times New Roman" w:hAnsi="Times New Roman"/>
                <w:sz w:val="24"/>
                <w:szCs w:val="24"/>
              </w:rPr>
              <w:t>виявляти недоліки та упущення, допущені під час</w:t>
            </w:r>
            <w:r w:rsidR="008D63E4" w:rsidRPr="00CD1E68">
              <w:rPr>
                <w:rFonts w:ascii="Times New Roman" w:hAnsi="Times New Roman"/>
                <w:sz w:val="24"/>
                <w:szCs w:val="24"/>
              </w:rPr>
              <w:t xml:space="preserve"> залучення експерта та проведення</w:t>
            </w:r>
            <w:r w:rsidRPr="00CD1E68">
              <w:rPr>
                <w:rFonts w:ascii="Times New Roman" w:hAnsi="Times New Roman"/>
                <w:sz w:val="24"/>
                <w:szCs w:val="24"/>
              </w:rPr>
              <w:t xml:space="preserve"> експертиз</w:t>
            </w:r>
            <w:r w:rsidR="008D63E4" w:rsidRPr="00CD1E68">
              <w:rPr>
                <w:rFonts w:ascii="Times New Roman" w:hAnsi="Times New Roman"/>
                <w:sz w:val="24"/>
                <w:szCs w:val="24"/>
              </w:rPr>
              <w:t>и</w:t>
            </w:r>
            <w:r w:rsidRPr="00CD1E68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r w:rsidR="008D63E4" w:rsidRPr="00CD1E68">
              <w:rPr>
                <w:rFonts w:ascii="Times New Roman" w:hAnsi="Times New Roman"/>
                <w:sz w:val="24"/>
                <w:szCs w:val="24"/>
              </w:rPr>
              <w:t>у</w:t>
            </w:r>
            <w:r w:rsidRPr="00CD1E68">
              <w:rPr>
                <w:rFonts w:ascii="Times New Roman" w:hAnsi="Times New Roman"/>
                <w:sz w:val="24"/>
                <w:szCs w:val="24"/>
              </w:rPr>
              <w:t xml:space="preserve"> висновку експерта;</w:t>
            </w:r>
          </w:p>
          <w:p w14:paraId="40A94299" w14:textId="77777777" w:rsidR="00F74DC9" w:rsidRPr="00CD1E68" w:rsidRDefault="00F74DC9" w:rsidP="00F74DC9">
            <w:pPr>
              <w:pStyle w:val="a5"/>
              <w:numPr>
                <w:ilvl w:val="0"/>
                <w:numId w:val="12"/>
              </w:numPr>
              <w:shd w:val="clear" w:color="auto" w:fill="FFFFFF"/>
              <w:tabs>
                <w:tab w:val="left" w:pos="284"/>
                <w:tab w:val="left" w:pos="567"/>
              </w:tabs>
              <w:spacing w:after="0"/>
              <w:ind w:left="0" w:firstLine="7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CD1E68">
              <w:rPr>
                <w:rFonts w:ascii="Times New Roman" w:hAnsi="Times New Roman"/>
                <w:bCs/>
                <w:iCs/>
                <w:color w:val="auto"/>
                <w:spacing w:val="-2"/>
                <w:sz w:val="24"/>
                <w:szCs w:val="24"/>
                <w:lang w:val="uk-UA"/>
              </w:rPr>
              <w:t xml:space="preserve">використовувати способи та методи, розроблені відповідними галузями криміналістичної техніки та іншими галузями знань для оцінки висновку експерта на предмет використання сучасних методик, повноти та достовірності результатів дослідження; </w:t>
            </w:r>
          </w:p>
          <w:p w14:paraId="386CADB7" w14:textId="28D93ACC" w:rsidR="00F74DC9" w:rsidRPr="00CD1E68" w:rsidRDefault="00F74DC9" w:rsidP="00F74DC9">
            <w:pPr>
              <w:pStyle w:val="22"/>
              <w:numPr>
                <w:ilvl w:val="0"/>
                <w:numId w:val="12"/>
              </w:numPr>
              <w:shd w:val="clear" w:color="auto" w:fill="auto"/>
              <w:tabs>
                <w:tab w:val="left" w:pos="1083"/>
              </w:tabs>
              <w:spacing w:line="276" w:lineRule="auto"/>
              <w:ind w:left="0" w:firstLine="740"/>
              <w:rPr>
                <w:sz w:val="24"/>
                <w:szCs w:val="24"/>
              </w:rPr>
            </w:pPr>
            <w:r w:rsidRPr="00CD1E68">
              <w:rPr>
                <w:sz w:val="24"/>
                <w:szCs w:val="24"/>
                <w:lang w:eastAsia="uk-UA" w:bidi="uk-UA"/>
              </w:rPr>
              <w:t>орієнтуватись у експертних методик</w:t>
            </w:r>
            <w:r w:rsidR="00184C73" w:rsidRPr="00CD1E68">
              <w:rPr>
                <w:sz w:val="24"/>
                <w:szCs w:val="24"/>
                <w:lang w:eastAsia="uk-UA" w:bidi="uk-UA"/>
              </w:rPr>
              <w:t>ах</w:t>
            </w:r>
            <w:r w:rsidRPr="00CD1E68">
              <w:rPr>
                <w:sz w:val="24"/>
                <w:szCs w:val="24"/>
                <w:lang w:eastAsia="uk-UA" w:bidi="uk-UA"/>
              </w:rPr>
              <w:t>;</w:t>
            </w:r>
          </w:p>
          <w:p w14:paraId="3279E3D1" w14:textId="657CA8C8" w:rsidR="00184C73" w:rsidRPr="00CD1E68" w:rsidRDefault="00F74DC9" w:rsidP="00F74DC9">
            <w:pPr>
              <w:pStyle w:val="22"/>
              <w:numPr>
                <w:ilvl w:val="0"/>
                <w:numId w:val="12"/>
              </w:numPr>
              <w:shd w:val="clear" w:color="auto" w:fill="auto"/>
              <w:tabs>
                <w:tab w:val="left" w:pos="1083"/>
              </w:tabs>
              <w:spacing w:line="276" w:lineRule="auto"/>
              <w:ind w:left="0" w:firstLine="740"/>
              <w:rPr>
                <w:sz w:val="24"/>
                <w:szCs w:val="24"/>
              </w:rPr>
            </w:pPr>
            <w:r w:rsidRPr="00CD1E68">
              <w:rPr>
                <w:sz w:val="24"/>
                <w:szCs w:val="24"/>
                <w:lang w:eastAsia="uk-UA" w:bidi="uk-UA"/>
              </w:rPr>
              <w:t xml:space="preserve">адаптувати </w:t>
            </w:r>
            <w:r w:rsidR="00184C73" w:rsidRPr="00CD1E68">
              <w:rPr>
                <w:sz w:val="24"/>
                <w:szCs w:val="24"/>
                <w:lang w:eastAsia="uk-UA" w:bidi="uk-UA"/>
              </w:rPr>
              <w:t xml:space="preserve">типові переліки можливих запитань на відповідний вид судової експертизи до конкретних обставин провадження; </w:t>
            </w:r>
            <w:r w:rsidR="00184C73" w:rsidRPr="00CD1E68">
              <w:rPr>
                <w:sz w:val="24"/>
                <w:szCs w:val="24"/>
                <w:lang w:eastAsia="uk-UA" w:bidi="uk-UA"/>
              </w:rPr>
              <w:t xml:space="preserve">формулювати конкретні </w:t>
            </w:r>
            <w:r w:rsidR="00184C73" w:rsidRPr="00CD1E68">
              <w:rPr>
                <w:sz w:val="24"/>
                <w:szCs w:val="24"/>
                <w:lang w:eastAsia="uk-UA" w:bidi="uk-UA"/>
              </w:rPr>
              <w:lastRenderedPageBreak/>
              <w:t>експертні прогнози;</w:t>
            </w:r>
          </w:p>
          <w:p w14:paraId="196B9573" w14:textId="21D1ED7C" w:rsidR="00184C73" w:rsidRPr="00CD1E68" w:rsidRDefault="00F74DC9" w:rsidP="00F74DC9">
            <w:pPr>
              <w:pStyle w:val="22"/>
              <w:numPr>
                <w:ilvl w:val="0"/>
                <w:numId w:val="12"/>
              </w:numPr>
              <w:shd w:val="clear" w:color="auto" w:fill="auto"/>
              <w:tabs>
                <w:tab w:val="left" w:pos="1083"/>
              </w:tabs>
              <w:spacing w:line="276" w:lineRule="auto"/>
              <w:ind w:left="0" w:firstLine="740"/>
              <w:rPr>
                <w:sz w:val="24"/>
                <w:szCs w:val="24"/>
              </w:rPr>
            </w:pPr>
            <w:r w:rsidRPr="00CD1E68">
              <w:rPr>
                <w:sz w:val="24"/>
                <w:szCs w:val="24"/>
                <w:lang w:eastAsia="uk-UA" w:bidi="uk-UA"/>
              </w:rPr>
              <w:t>вирішувати завдання</w:t>
            </w:r>
            <w:r w:rsidR="00184C73" w:rsidRPr="00CD1E68">
              <w:rPr>
                <w:sz w:val="24"/>
                <w:szCs w:val="24"/>
                <w:lang w:eastAsia="uk-UA" w:bidi="uk-UA"/>
              </w:rPr>
              <w:t xml:space="preserve"> співпраці з судовим експертом на етапі виконання експертного дослідження;</w:t>
            </w:r>
          </w:p>
          <w:p w14:paraId="1CEBFEA8" w14:textId="25D46AFE" w:rsidR="009F5027" w:rsidRPr="00CD1E68" w:rsidRDefault="009F5027" w:rsidP="009F502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E68">
              <w:rPr>
                <w:rFonts w:ascii="Times New Roman" w:hAnsi="Times New Roman" w:cs="Times New Roman"/>
                <w:sz w:val="24"/>
                <w:szCs w:val="24"/>
              </w:rPr>
              <w:t>застосовувати теоретичні знання до конкретних життєвих фактів і ситуацій, вирішувати практичні завдання</w:t>
            </w:r>
            <w:r w:rsidR="00184C73" w:rsidRPr="00CD1E68">
              <w:rPr>
                <w:rFonts w:ascii="Times New Roman" w:hAnsi="Times New Roman" w:cs="Times New Roman"/>
                <w:sz w:val="24"/>
                <w:szCs w:val="24"/>
              </w:rPr>
              <w:t xml:space="preserve"> (казуси)</w:t>
            </w:r>
            <w:r w:rsidRPr="00CD1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1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CD1E68" w:rsidRPr="00CD1E68" w14:paraId="2706D8F9" w14:textId="77777777" w:rsidTr="0072185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91AF5" w14:textId="77777777" w:rsidR="009F5027" w:rsidRPr="00CD1E68" w:rsidRDefault="009F5027" w:rsidP="007218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74BEDF0" w14:textId="77777777" w:rsidR="009F5027" w:rsidRPr="00CD1E68" w:rsidRDefault="009F5027" w:rsidP="007218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E68">
              <w:rPr>
                <w:rFonts w:ascii="Times New Roman" w:hAnsi="Times New Roman" w:cs="Times New Roman"/>
                <w:b/>
              </w:rPr>
              <w:t>Ключові слова</w:t>
            </w:r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3EE3A" w14:textId="23DFCEBD" w:rsidR="009F5027" w:rsidRPr="00CD1E68" w:rsidRDefault="00B21084" w:rsidP="00501ABD">
            <w:pPr>
              <w:jc w:val="both"/>
              <w:rPr>
                <w:rFonts w:ascii="Times New Roman" w:hAnsi="Times New Roman" w:cs="Times New Roman"/>
              </w:rPr>
            </w:pPr>
            <w:r w:rsidRPr="00CD1E68">
              <w:rPr>
                <w:rFonts w:ascii="Times New Roman" w:hAnsi="Times New Roman" w:cs="Times New Roman"/>
              </w:rPr>
              <w:t xml:space="preserve">спеціальні знання; форми використання спеціальних знань; спеціаліст у кримінальному провадженні; акти ревізій та перевірок; </w:t>
            </w:r>
            <w:r w:rsidR="00501ABD" w:rsidRPr="00CD1E68">
              <w:rPr>
                <w:rFonts w:ascii="Times New Roman" w:hAnsi="Times New Roman" w:cs="Times New Roman"/>
              </w:rPr>
              <w:t xml:space="preserve">перевірка за обліками та реєстрами; </w:t>
            </w:r>
            <w:r w:rsidRPr="00CD1E68">
              <w:rPr>
                <w:rFonts w:ascii="Times New Roman" w:hAnsi="Times New Roman" w:cs="Times New Roman"/>
              </w:rPr>
              <w:t>висновок спеціаліста; судовий експерт; проведення судової експертизи; висновок експерта, дослідження, оцінка та перевірка висновку експерта;</w:t>
            </w:r>
          </w:p>
        </w:tc>
      </w:tr>
      <w:tr w:rsidR="00CD1E68" w:rsidRPr="00CD1E68" w14:paraId="602E4C13" w14:textId="77777777" w:rsidTr="0072185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EA13F" w14:textId="77777777" w:rsidR="009F5027" w:rsidRPr="00CD1E68" w:rsidRDefault="009F5027" w:rsidP="007218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E68">
              <w:rPr>
                <w:rFonts w:ascii="Times New Roman" w:hAnsi="Times New Roman" w:cs="Times New Roman"/>
                <w:b/>
              </w:rPr>
              <w:t>Формат курсу</w:t>
            </w:r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CD117" w14:textId="77777777" w:rsidR="009F5027" w:rsidRPr="00CD1E68" w:rsidRDefault="009F5027" w:rsidP="00721851">
            <w:pPr>
              <w:jc w:val="both"/>
              <w:rPr>
                <w:rFonts w:ascii="Times New Roman" w:hAnsi="Times New Roman" w:cs="Times New Roman"/>
              </w:rPr>
            </w:pPr>
            <w:r w:rsidRPr="00CD1E68">
              <w:rPr>
                <w:rFonts w:ascii="Times New Roman" w:hAnsi="Times New Roman" w:cs="Times New Roman"/>
              </w:rPr>
              <w:t>Форма навчання – денна і заочна</w:t>
            </w:r>
          </w:p>
        </w:tc>
      </w:tr>
      <w:tr w:rsidR="00CD1E68" w:rsidRPr="00CD1E68" w14:paraId="0F185CC1" w14:textId="77777777" w:rsidTr="0072185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9643E" w14:textId="77777777" w:rsidR="009F5027" w:rsidRPr="00CD1E68" w:rsidRDefault="009F5027" w:rsidP="0072185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D1E68">
              <w:rPr>
                <w:rFonts w:ascii="Times New Roman" w:hAnsi="Times New Roman" w:cs="Times New Roman"/>
                <w:b/>
              </w:rPr>
              <w:t>Форми і види навчальних занять</w:t>
            </w:r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79B95" w14:textId="77777777" w:rsidR="009F5027" w:rsidRPr="00CD1E68" w:rsidRDefault="009F5027" w:rsidP="00721851">
            <w:pPr>
              <w:jc w:val="both"/>
              <w:rPr>
                <w:rFonts w:ascii="Times New Roman" w:hAnsi="Times New Roman" w:cs="Times New Roman"/>
              </w:rPr>
            </w:pPr>
            <w:r w:rsidRPr="00CD1E68">
              <w:rPr>
                <w:rFonts w:ascii="Times New Roman" w:hAnsi="Times New Roman" w:cs="Times New Roman"/>
              </w:rPr>
              <w:t>Лекції, практичні заняття, індивідуальна робота, консультації, елементи дистанційного навчання, проміжний та підсумковий контроль</w:t>
            </w:r>
          </w:p>
        </w:tc>
      </w:tr>
      <w:tr w:rsidR="00CD1E68" w:rsidRPr="00CD1E68" w14:paraId="0FDD46BC" w14:textId="77777777" w:rsidTr="0072185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AAFF60" w14:textId="77777777" w:rsidR="009F5027" w:rsidRPr="00CD1E68" w:rsidRDefault="009F5027" w:rsidP="00B21084">
            <w:pPr>
              <w:spacing w:before="120"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13E69C" w14:textId="77777777" w:rsidR="009F5027" w:rsidRPr="00CD1E68" w:rsidRDefault="009F5027" w:rsidP="00B21084">
            <w:pPr>
              <w:spacing w:before="120"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982B541" w14:textId="77777777" w:rsidR="009F5027" w:rsidRPr="00CD1E68" w:rsidRDefault="009F5027" w:rsidP="00B21084">
            <w:pPr>
              <w:spacing w:before="120"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6705C81" w14:textId="77777777" w:rsidR="009F5027" w:rsidRPr="00CD1E68" w:rsidRDefault="009F5027" w:rsidP="00B21084">
            <w:pPr>
              <w:spacing w:before="120"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F9964D5" w14:textId="77777777" w:rsidR="009F5027" w:rsidRPr="00CD1E68" w:rsidRDefault="009F5027" w:rsidP="00B2108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ABDFA0C" w14:textId="77777777" w:rsidR="009F5027" w:rsidRPr="00CD1E68" w:rsidRDefault="009F5027" w:rsidP="00B2108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E68">
              <w:rPr>
                <w:rFonts w:ascii="Times New Roman" w:hAnsi="Times New Roman" w:cs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C1538" w14:textId="6872039B" w:rsidR="00B21084" w:rsidRPr="00CD1E68" w:rsidRDefault="00B21084" w:rsidP="00B21084">
            <w:pPr>
              <w:tabs>
                <w:tab w:val="left" w:pos="0"/>
              </w:tabs>
              <w:spacing w:before="120"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D1E6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D1E68">
              <w:rPr>
                <w:rFonts w:ascii="Times New Roman" w:hAnsi="Times New Roman" w:cs="Times New Roman"/>
                <w:sz w:val="24"/>
                <w:szCs w:val="24"/>
              </w:rPr>
              <w:t xml:space="preserve">Поняття </w:t>
            </w:r>
            <w:r w:rsidRPr="00CD1E68">
              <w:rPr>
                <w:rFonts w:ascii="Times New Roman" w:hAnsi="Times New Roman" w:cs="Times New Roman"/>
                <w:sz w:val="24"/>
                <w:szCs w:val="24"/>
              </w:rPr>
              <w:t>спеціальних знань та форм їх використання у кримінальному провадженні.</w:t>
            </w:r>
          </w:p>
          <w:p w14:paraId="43B1AE14" w14:textId="3D2A851E" w:rsidR="00B21084" w:rsidRPr="00CD1E68" w:rsidRDefault="00B21084" w:rsidP="00B21084">
            <w:pPr>
              <w:tabs>
                <w:tab w:val="left" w:pos="0"/>
              </w:tabs>
              <w:spacing w:before="120"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D1E68"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Pr="00CD1E68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  <w:r w:rsidRPr="00CD1E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1E68">
              <w:rPr>
                <w:rFonts w:ascii="Times New Roman" w:hAnsi="Times New Roman" w:cs="Times New Roman"/>
                <w:sz w:val="24"/>
                <w:szCs w:val="24"/>
              </w:rPr>
              <w:t xml:space="preserve"> експертиз</w:t>
            </w:r>
            <w:r w:rsidRPr="00CD1E68">
              <w:rPr>
                <w:rFonts w:ascii="Times New Roman" w:hAnsi="Times New Roman" w:cs="Times New Roman"/>
                <w:sz w:val="24"/>
                <w:szCs w:val="24"/>
              </w:rPr>
              <w:t>а – найбільш кваліфікована форма використання спеціальних знань. Ї</w:t>
            </w:r>
            <w:r w:rsidRPr="00CD1E68">
              <w:rPr>
                <w:rFonts w:ascii="Times New Roman" w:hAnsi="Times New Roman" w:cs="Times New Roman"/>
                <w:sz w:val="24"/>
                <w:szCs w:val="24"/>
              </w:rPr>
              <w:t>ї значення і види.</w:t>
            </w:r>
          </w:p>
          <w:p w14:paraId="126FFE66" w14:textId="29A0A341" w:rsidR="00B21084" w:rsidRPr="00CD1E68" w:rsidRDefault="00B21084" w:rsidP="00B21084">
            <w:pPr>
              <w:tabs>
                <w:tab w:val="left" w:pos="0"/>
              </w:tabs>
              <w:suppressAutoHyphens/>
              <w:spacing w:before="120"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1E68">
              <w:rPr>
                <w:rFonts w:ascii="Times New Roman" w:hAnsi="Times New Roman" w:cs="Times New Roman"/>
                <w:sz w:val="24"/>
                <w:szCs w:val="24"/>
              </w:rPr>
              <w:t>. Судово-експертна діяльність.</w:t>
            </w:r>
          </w:p>
          <w:p w14:paraId="6D7F4D51" w14:textId="30DAEDD3" w:rsidR="00B21084" w:rsidRPr="00CD1E68" w:rsidRDefault="00B21084" w:rsidP="00B21084">
            <w:pPr>
              <w:tabs>
                <w:tab w:val="left" w:pos="0"/>
              </w:tabs>
              <w:suppressAutoHyphens/>
              <w:spacing w:before="120"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1E68">
              <w:rPr>
                <w:rFonts w:ascii="Times New Roman" w:hAnsi="Times New Roman" w:cs="Times New Roman"/>
                <w:sz w:val="24"/>
                <w:szCs w:val="24"/>
              </w:rPr>
              <w:t xml:space="preserve">. Процесуальні, організаційні й тактичні засади залучення експерта, підготовки і проведення судової експертизи. </w:t>
            </w:r>
          </w:p>
          <w:p w14:paraId="15F1C210" w14:textId="3C5B6763" w:rsidR="00B21084" w:rsidRPr="00CD1E68" w:rsidRDefault="00B21084" w:rsidP="00B21084">
            <w:pPr>
              <w:tabs>
                <w:tab w:val="left" w:pos="0"/>
              </w:tabs>
              <w:spacing w:before="120"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1E68">
              <w:rPr>
                <w:rFonts w:ascii="Times New Roman" w:hAnsi="Times New Roman" w:cs="Times New Roman"/>
                <w:sz w:val="24"/>
                <w:szCs w:val="24"/>
              </w:rPr>
              <w:t>. Експертні завдання та експертні дослідження. Їх види. Стадії експертних дослідження. Висновок експерта та його оцінка</w:t>
            </w:r>
          </w:p>
          <w:p w14:paraId="76AEA531" w14:textId="22FF1D3D" w:rsidR="00B21084" w:rsidRPr="00CD1E68" w:rsidRDefault="00B21084" w:rsidP="00B21084">
            <w:pPr>
              <w:pStyle w:val="a7"/>
              <w:spacing w:before="120" w:after="0"/>
              <w:ind w:firstLine="709"/>
              <w:rPr>
                <w:color w:val="auto"/>
                <w:lang w:val="uk-UA"/>
              </w:rPr>
            </w:pPr>
            <w:r w:rsidRPr="00CD1E68">
              <w:rPr>
                <w:color w:val="auto"/>
                <w:lang w:val="uk-UA"/>
              </w:rPr>
              <w:t xml:space="preserve">6. </w:t>
            </w:r>
            <w:r w:rsidRPr="00CD1E68">
              <w:rPr>
                <w:color w:val="auto"/>
                <w:lang w:val="uk-UA"/>
              </w:rPr>
              <w:t>К</w:t>
            </w:r>
            <w:r w:rsidRPr="00CD1E68">
              <w:rPr>
                <w:color w:val="auto"/>
                <w:lang w:val="uk-UA"/>
              </w:rPr>
              <w:t>риміналістичн</w:t>
            </w:r>
            <w:r w:rsidRPr="00CD1E68">
              <w:rPr>
                <w:color w:val="auto"/>
                <w:lang w:val="uk-UA"/>
              </w:rPr>
              <w:t>і</w:t>
            </w:r>
            <w:r w:rsidRPr="00CD1E68">
              <w:rPr>
                <w:color w:val="auto"/>
                <w:lang w:val="uk-UA"/>
              </w:rPr>
              <w:t xml:space="preserve"> експертиз</w:t>
            </w:r>
            <w:r w:rsidRPr="00CD1E68">
              <w:rPr>
                <w:color w:val="auto"/>
                <w:lang w:val="uk-UA"/>
              </w:rPr>
              <w:t>и</w:t>
            </w:r>
            <w:r w:rsidRPr="00CD1E68">
              <w:rPr>
                <w:color w:val="auto"/>
                <w:lang w:val="uk-UA"/>
              </w:rPr>
              <w:t>.</w:t>
            </w:r>
          </w:p>
          <w:p w14:paraId="250450A6" w14:textId="77777777" w:rsidR="00B21084" w:rsidRPr="00CD1E68" w:rsidRDefault="00B21084" w:rsidP="00B21084">
            <w:pPr>
              <w:pStyle w:val="ac"/>
              <w:spacing w:before="120" w:after="0" w:line="240" w:lineRule="auto"/>
              <w:ind w:left="0"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E68">
              <w:rPr>
                <w:rFonts w:ascii="Times New Roman" w:hAnsi="Times New Roman" w:cs="Times New Roman"/>
                <w:sz w:val="24"/>
                <w:szCs w:val="24"/>
              </w:rPr>
              <w:t>7. Експертизи матеріалів і речовин.</w:t>
            </w:r>
          </w:p>
          <w:p w14:paraId="3540BE9C" w14:textId="16D3BE4E" w:rsidR="009F5027" w:rsidRPr="00CD1E68" w:rsidRDefault="00B21084" w:rsidP="00B21084">
            <w:pPr>
              <w:pStyle w:val="ac"/>
              <w:spacing w:before="120" w:after="0"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D1E68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CD1E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D1E68">
              <w:rPr>
                <w:rFonts w:ascii="Times New Roman" w:hAnsi="Times New Roman" w:cs="Times New Roman"/>
                <w:sz w:val="24"/>
                <w:szCs w:val="24"/>
              </w:rPr>
              <w:t>ехнічн</w:t>
            </w:r>
            <w:r w:rsidRPr="00CD1E68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CD1E68">
              <w:rPr>
                <w:rFonts w:ascii="Times New Roman" w:hAnsi="Times New Roman" w:cs="Times New Roman"/>
                <w:sz w:val="24"/>
                <w:szCs w:val="24"/>
              </w:rPr>
              <w:t xml:space="preserve"> та технологічн</w:t>
            </w:r>
            <w:r w:rsidRPr="00CD1E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1E68">
              <w:rPr>
                <w:rFonts w:ascii="Times New Roman" w:hAnsi="Times New Roman" w:cs="Times New Roman"/>
                <w:sz w:val="24"/>
                <w:szCs w:val="24"/>
              </w:rPr>
              <w:t xml:space="preserve"> експертиз.</w:t>
            </w:r>
          </w:p>
        </w:tc>
      </w:tr>
      <w:tr w:rsidR="00CD1E68" w:rsidRPr="00CD1E68" w14:paraId="58F08246" w14:textId="77777777" w:rsidTr="0072185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F4887" w14:textId="77777777" w:rsidR="009F5027" w:rsidRPr="00CD1E68" w:rsidRDefault="009F5027" w:rsidP="00721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E68">
              <w:rPr>
                <w:rFonts w:ascii="Times New Roman" w:hAnsi="Times New Roman" w:cs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E3FA8" w14:textId="77777777" w:rsidR="009F5027" w:rsidRPr="00CD1E68" w:rsidRDefault="009F5027" w:rsidP="00721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68">
              <w:rPr>
                <w:rFonts w:ascii="Times New Roman" w:hAnsi="Times New Roman" w:cs="Times New Roman"/>
                <w:sz w:val="24"/>
                <w:szCs w:val="24"/>
              </w:rPr>
              <w:t>Залік в кінці семестру</w:t>
            </w:r>
          </w:p>
          <w:p w14:paraId="619CD6FD" w14:textId="4ADCE784" w:rsidR="009F5027" w:rsidRPr="00CD1E68" w:rsidRDefault="00F74DC9" w:rsidP="00721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68">
              <w:rPr>
                <w:rFonts w:ascii="Times New Roman" w:hAnsi="Times New Roman" w:cs="Times New Roman"/>
                <w:sz w:val="24"/>
                <w:szCs w:val="24"/>
              </w:rPr>
              <w:t>Письмовий</w:t>
            </w:r>
          </w:p>
        </w:tc>
      </w:tr>
      <w:tr w:rsidR="00CD1E68" w:rsidRPr="00CD1E68" w14:paraId="3E98E81A" w14:textId="77777777" w:rsidTr="0072185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29385" w14:textId="77777777" w:rsidR="009F5027" w:rsidRPr="00CD1E68" w:rsidRDefault="009F5027" w:rsidP="00721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A211DC" w14:textId="77777777" w:rsidR="009F5027" w:rsidRPr="00CD1E68" w:rsidRDefault="009F5027" w:rsidP="00721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93F5C6" w14:textId="77777777" w:rsidR="009F5027" w:rsidRPr="00CD1E68" w:rsidRDefault="009F5027" w:rsidP="00721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1E68">
              <w:rPr>
                <w:rFonts w:ascii="Times New Roman" w:hAnsi="Times New Roman" w:cs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86008" w14:textId="5675B097" w:rsidR="00184C73" w:rsidRPr="00CD1E68" w:rsidRDefault="009F5027" w:rsidP="0018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68">
              <w:rPr>
                <w:rFonts w:ascii="Times New Roman" w:hAnsi="Times New Roman" w:cs="Times New Roman"/>
                <w:sz w:val="24"/>
                <w:szCs w:val="24"/>
              </w:rPr>
              <w:t>Для вивчення курсу студенти потребують базових знань з таких дисциплін: «Кримінально-процесуальне право України», «</w:t>
            </w:r>
            <w:r w:rsidR="00184C73" w:rsidRPr="00CD1E68">
              <w:rPr>
                <w:rFonts w:ascii="Times New Roman" w:hAnsi="Times New Roman" w:cs="Times New Roman"/>
                <w:sz w:val="24"/>
                <w:szCs w:val="24"/>
              </w:rPr>
              <w:t>Криміналістика</w:t>
            </w:r>
            <w:r w:rsidRPr="00CD1E68">
              <w:rPr>
                <w:rFonts w:ascii="Times New Roman" w:hAnsi="Times New Roman" w:cs="Times New Roman"/>
                <w:sz w:val="24"/>
                <w:szCs w:val="24"/>
              </w:rPr>
              <w:t>», достатніх для сприйняття категоріального апарату, що використовується у вивчені начального матеріалу в рамках дисципліни «</w:t>
            </w:r>
            <w:r w:rsidR="00184C73" w:rsidRPr="00CD1E68">
              <w:rPr>
                <w:rFonts w:ascii="Times New Roman" w:hAnsi="Times New Roman" w:cs="Times New Roman"/>
                <w:bCs/>
                <w:sz w:val="24"/>
                <w:szCs w:val="24"/>
              </w:rPr>
              <w:t>Використання спеціальних знань у кримінальному провадженні</w:t>
            </w:r>
            <w:r w:rsidRPr="00CD1E68">
              <w:rPr>
                <w:rFonts w:ascii="Times New Roman" w:hAnsi="Times New Roman" w:cs="Times New Roman"/>
                <w:sz w:val="24"/>
                <w:szCs w:val="24"/>
              </w:rPr>
              <w:t>», розуміння законодавчих джерел та судової практики.</w:t>
            </w:r>
          </w:p>
        </w:tc>
      </w:tr>
      <w:tr w:rsidR="00CD1E68" w:rsidRPr="00CD1E68" w14:paraId="2787CC14" w14:textId="77777777" w:rsidTr="0072185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D008B" w14:textId="77777777" w:rsidR="009F5027" w:rsidRPr="00CD1E68" w:rsidRDefault="009F5027" w:rsidP="00721851">
            <w:pPr>
              <w:jc w:val="center"/>
              <w:rPr>
                <w:b/>
              </w:rPr>
            </w:pPr>
          </w:p>
          <w:p w14:paraId="0CDA98D6" w14:textId="77777777" w:rsidR="009F5027" w:rsidRPr="00CD1E68" w:rsidRDefault="009F5027" w:rsidP="00721851">
            <w:pPr>
              <w:jc w:val="center"/>
              <w:rPr>
                <w:b/>
              </w:rPr>
            </w:pPr>
          </w:p>
          <w:p w14:paraId="3925F008" w14:textId="77777777" w:rsidR="009F5027" w:rsidRPr="00CD1E68" w:rsidRDefault="009F5027" w:rsidP="00721851">
            <w:pPr>
              <w:jc w:val="center"/>
              <w:rPr>
                <w:b/>
              </w:rPr>
            </w:pPr>
          </w:p>
          <w:p w14:paraId="7F7635C6" w14:textId="77777777" w:rsidR="009F5027" w:rsidRPr="00CD1E68" w:rsidRDefault="009F5027" w:rsidP="00721851">
            <w:pPr>
              <w:jc w:val="center"/>
              <w:rPr>
                <w:b/>
              </w:rPr>
            </w:pPr>
          </w:p>
          <w:p w14:paraId="74F9E915" w14:textId="77777777" w:rsidR="009F5027" w:rsidRPr="00CD1E68" w:rsidRDefault="009F5027" w:rsidP="007218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E68">
              <w:rPr>
                <w:rFonts w:ascii="Times New Roman" w:hAnsi="Times New Roman" w:cs="Times New Roman"/>
                <w:b/>
              </w:rPr>
              <w:t xml:space="preserve">Навчальні методи та техніки, які будуть використовуватися </w:t>
            </w:r>
            <w:r w:rsidRPr="00CD1E68">
              <w:rPr>
                <w:rFonts w:ascii="Times New Roman" w:hAnsi="Times New Roman" w:cs="Times New Roman"/>
                <w:b/>
              </w:rPr>
              <w:lastRenderedPageBreak/>
              <w:t>під час викладання курсу</w:t>
            </w:r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FCA15" w14:textId="77777777" w:rsidR="009F5027" w:rsidRPr="00CD1E68" w:rsidRDefault="009F5027" w:rsidP="00721851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CD1E68">
              <w:rPr>
                <w:b/>
                <w:bCs/>
              </w:rPr>
              <w:lastRenderedPageBreak/>
              <w:t>Методи навчання: </w:t>
            </w:r>
            <w:r w:rsidRPr="00CD1E68">
              <w:t>загальнонаукові і спеціальні методи пізнання правових явищ: логічний, проблемний, дослідницький, евристичний, ситуаційний, метод Сократа, групова дискусія, опрацювання аналітичних завдань, підготовка експертних висновків із проблемних питань, ділові/рольові ігри; кейс-стаді, дебати, виконання наукових робіт, практика з майбутньої професії, самостійна робота з літературою, Інтернет-ресурсами (самонавчання); методики з правової оцінки поведінки чи діяльності індивідів і соціальних груп, ідентифікації правової проблеми та її вирішення на основі принципів права. </w:t>
            </w:r>
          </w:p>
          <w:p w14:paraId="05A8606C" w14:textId="77777777" w:rsidR="009F5027" w:rsidRPr="00CD1E68" w:rsidRDefault="009F5027" w:rsidP="00721851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CD1E68">
              <w:rPr>
                <w:b/>
                <w:bCs/>
              </w:rPr>
              <w:t>Освітні технології: </w:t>
            </w:r>
            <w:r w:rsidRPr="00CD1E68">
              <w:t xml:space="preserve">інформаційно-комунікативні технології, аудіовізуальні технології, інтерактивні та мережеві технології, контекстного навчання, </w:t>
            </w:r>
            <w:r w:rsidRPr="00CD1E68">
              <w:lastRenderedPageBreak/>
              <w:t xml:space="preserve">ситуативного моделювання, проектні технології, навчання як дослідження, </w:t>
            </w:r>
            <w:proofErr w:type="spellStart"/>
            <w:r w:rsidRPr="00CD1E68">
              <w:t>модульно</w:t>
            </w:r>
            <w:proofErr w:type="spellEnd"/>
            <w:r w:rsidRPr="00CD1E68">
              <w:t>-блочного навчання. </w:t>
            </w:r>
          </w:p>
        </w:tc>
      </w:tr>
      <w:tr w:rsidR="00CD1E68" w:rsidRPr="00CD1E68" w14:paraId="4C376280" w14:textId="77777777" w:rsidTr="0072185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CE1A0" w14:textId="77777777" w:rsidR="009F5027" w:rsidRPr="00CD1E68" w:rsidRDefault="009F5027" w:rsidP="00721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E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Необхідне обладнання</w:t>
            </w:r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8801B" w14:textId="77777777" w:rsidR="009F5027" w:rsidRPr="00CD1E68" w:rsidRDefault="009F5027" w:rsidP="007218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D1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Комп’ютерна</w:t>
            </w:r>
            <w:proofErr w:type="spellEnd"/>
            <w:r w:rsidRPr="00CD1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1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техніка</w:t>
            </w:r>
            <w:proofErr w:type="spellEnd"/>
            <w:r w:rsidRPr="00CD1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CD1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виходом</w:t>
            </w:r>
            <w:proofErr w:type="spellEnd"/>
            <w:r w:rsidRPr="00CD1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мережу </w:t>
            </w:r>
            <w:proofErr w:type="spellStart"/>
            <w:r w:rsidRPr="00CD1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Інтернет</w:t>
            </w:r>
            <w:proofErr w:type="spellEnd"/>
          </w:p>
        </w:tc>
      </w:tr>
      <w:tr w:rsidR="00CD1E68" w:rsidRPr="00CD1E68" w14:paraId="6673F179" w14:textId="77777777" w:rsidTr="0072185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AA86A" w14:textId="77777777" w:rsidR="009F5027" w:rsidRPr="00CD1E68" w:rsidRDefault="009F5027" w:rsidP="00721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AB8ACE" w14:textId="77777777" w:rsidR="009F5027" w:rsidRPr="00CD1E68" w:rsidRDefault="009F5027" w:rsidP="00721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F8BF54" w14:textId="77777777" w:rsidR="009F5027" w:rsidRPr="00CD1E68" w:rsidRDefault="009F5027" w:rsidP="00721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D0BFBA" w14:textId="77777777" w:rsidR="009F5027" w:rsidRPr="00CD1E68" w:rsidRDefault="009F5027" w:rsidP="00721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57FD9C" w14:textId="77777777" w:rsidR="009F5027" w:rsidRPr="00CD1E68" w:rsidRDefault="009F5027" w:rsidP="00721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A94EF9" w14:textId="77777777" w:rsidR="009F5027" w:rsidRPr="00CD1E68" w:rsidRDefault="009F5027" w:rsidP="00721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E68">
              <w:rPr>
                <w:rFonts w:ascii="Times New Roman" w:hAnsi="Times New Roman" w:cs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75F54" w14:textId="77777777" w:rsidR="009F5027" w:rsidRPr="00CD1E68" w:rsidRDefault="009F5027" w:rsidP="00721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6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Методи оцінювання: </w:t>
            </w:r>
            <w:r w:rsidRPr="00CD1E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усне опитування, експрес-опитування, розв’язання практичних завдань/задач, підготовка і захист наукових робіт за ініціативою студента, </w:t>
            </w:r>
            <w:proofErr w:type="spellStart"/>
            <w:r w:rsidRPr="00CD1E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peer</w:t>
            </w:r>
            <w:proofErr w:type="spellEnd"/>
            <w:r w:rsidRPr="00CD1E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1E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review</w:t>
            </w:r>
            <w:proofErr w:type="spellEnd"/>
            <w:r w:rsidRPr="00CD1E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захист кейсу, захист портфоліо, самооцінка студента за питаннями для самоконтролю, колоквіум, усний залік.</w:t>
            </w:r>
          </w:p>
          <w:p w14:paraId="0C20EE30" w14:textId="77777777" w:rsidR="009F5027" w:rsidRPr="00CD1E68" w:rsidRDefault="009F5027" w:rsidP="0072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68">
              <w:rPr>
                <w:rFonts w:ascii="Times New Roman" w:hAnsi="Times New Roman" w:cs="Times New Roman"/>
                <w:sz w:val="24"/>
                <w:szCs w:val="24"/>
              </w:rPr>
              <w:t xml:space="preserve">Оцінювання проводиться за 100-бальною шкалою. Бали нараховуються у такому співвідношенні: </w:t>
            </w:r>
          </w:p>
          <w:p w14:paraId="665E64A7" w14:textId="77777777" w:rsidR="009F5027" w:rsidRPr="00CD1E68" w:rsidRDefault="009F5027" w:rsidP="009F5027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практичні: 25% семестрової оцінки; максимальна кількість балів 25;</w:t>
            </w:r>
          </w:p>
          <w:p w14:paraId="4E4843DE" w14:textId="77777777" w:rsidR="009F5027" w:rsidRPr="00CD1E68" w:rsidRDefault="009F5027" w:rsidP="009F5027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контрольні заміри (модулі): 25% семестрової оцінки; максимальна кількість балів 25;</w:t>
            </w:r>
          </w:p>
          <w:p w14:paraId="45607663" w14:textId="77777777" w:rsidR="009F5027" w:rsidRPr="00CD1E68" w:rsidRDefault="009F5027" w:rsidP="009F5027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іспит: 50% семестрової оцінки. Максимальна кількість балів 50.</w:t>
            </w:r>
          </w:p>
          <w:p w14:paraId="20AA8C88" w14:textId="77777777" w:rsidR="009F5027" w:rsidRPr="00CD1E68" w:rsidRDefault="009F5027" w:rsidP="009F502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E68">
              <w:rPr>
                <w:rFonts w:ascii="Times New Roman" w:hAnsi="Times New Roman" w:cs="Times New Roman"/>
                <w:sz w:val="24"/>
                <w:szCs w:val="24"/>
              </w:rPr>
              <w:t>Підсумкова максимальна кількість балів 100.</w:t>
            </w:r>
          </w:p>
          <w:p w14:paraId="49DE0BB5" w14:textId="77777777" w:rsidR="009F5027" w:rsidRPr="00CD1E68" w:rsidRDefault="009F5027" w:rsidP="0072185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CD1E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 цьому обов’язково враховуються: присутність на заняттях та активність студента під час практичного заняття;  списування та плагіат; несвоєчасне виконання поставленого завдання.</w:t>
            </w:r>
          </w:p>
        </w:tc>
      </w:tr>
      <w:tr w:rsidR="00CD1E68" w:rsidRPr="00CD1E68" w14:paraId="22EB4F37" w14:textId="77777777" w:rsidTr="00721851">
        <w:trPr>
          <w:trHeight w:val="1692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39D2E" w14:textId="77777777" w:rsidR="009F5027" w:rsidRPr="00CD1E68" w:rsidRDefault="009F5027" w:rsidP="00721851">
            <w:pPr>
              <w:jc w:val="center"/>
              <w:rPr>
                <w:b/>
                <w:bCs/>
                <w:lang w:eastAsia="uk-UA"/>
              </w:rPr>
            </w:pPr>
          </w:p>
          <w:p w14:paraId="6AB1A89A" w14:textId="77777777" w:rsidR="009F5027" w:rsidRPr="00CD1E68" w:rsidRDefault="009F5027" w:rsidP="00721851">
            <w:pPr>
              <w:jc w:val="center"/>
              <w:rPr>
                <w:b/>
                <w:bCs/>
                <w:lang w:eastAsia="uk-UA"/>
              </w:rPr>
            </w:pPr>
          </w:p>
          <w:p w14:paraId="3C9E134E" w14:textId="77777777" w:rsidR="009F5027" w:rsidRPr="00CD1E68" w:rsidRDefault="009F5027" w:rsidP="00721851">
            <w:pPr>
              <w:jc w:val="center"/>
              <w:rPr>
                <w:b/>
                <w:bCs/>
                <w:lang w:eastAsia="uk-UA"/>
              </w:rPr>
            </w:pPr>
          </w:p>
          <w:p w14:paraId="17577EBD" w14:textId="77777777" w:rsidR="009F5027" w:rsidRPr="00CD1E68" w:rsidRDefault="009F5027" w:rsidP="00721851">
            <w:pPr>
              <w:jc w:val="center"/>
              <w:rPr>
                <w:b/>
                <w:bCs/>
                <w:lang w:eastAsia="uk-UA"/>
              </w:rPr>
            </w:pPr>
          </w:p>
          <w:p w14:paraId="12A5E59D" w14:textId="77777777" w:rsidR="009F5027" w:rsidRPr="00CD1E68" w:rsidRDefault="009F5027" w:rsidP="00721851">
            <w:pPr>
              <w:jc w:val="center"/>
              <w:rPr>
                <w:b/>
                <w:bCs/>
                <w:lang w:eastAsia="uk-UA"/>
              </w:rPr>
            </w:pPr>
          </w:p>
          <w:p w14:paraId="0166806C" w14:textId="77777777" w:rsidR="009F5027" w:rsidRPr="00CD1E68" w:rsidRDefault="009F5027" w:rsidP="00721851">
            <w:pPr>
              <w:jc w:val="center"/>
              <w:rPr>
                <w:b/>
                <w:bCs/>
                <w:lang w:eastAsia="uk-UA"/>
              </w:rPr>
            </w:pPr>
          </w:p>
          <w:p w14:paraId="54594E2E" w14:textId="77777777" w:rsidR="009F5027" w:rsidRPr="00CD1E68" w:rsidRDefault="009F5027" w:rsidP="00721851">
            <w:pPr>
              <w:jc w:val="center"/>
              <w:rPr>
                <w:b/>
                <w:bCs/>
                <w:lang w:eastAsia="uk-UA"/>
              </w:rPr>
            </w:pPr>
          </w:p>
          <w:p w14:paraId="0119153B" w14:textId="77777777" w:rsidR="009F5027" w:rsidRPr="00CD1E68" w:rsidRDefault="009F5027" w:rsidP="00721851">
            <w:pPr>
              <w:jc w:val="center"/>
              <w:rPr>
                <w:b/>
                <w:bCs/>
                <w:lang w:eastAsia="uk-UA"/>
              </w:rPr>
            </w:pPr>
          </w:p>
          <w:p w14:paraId="3A502132" w14:textId="77777777" w:rsidR="009F5027" w:rsidRPr="00CD1E68" w:rsidRDefault="009F5027" w:rsidP="00721851">
            <w:pPr>
              <w:jc w:val="center"/>
              <w:rPr>
                <w:b/>
                <w:bCs/>
                <w:lang w:eastAsia="uk-UA"/>
              </w:rPr>
            </w:pPr>
          </w:p>
          <w:p w14:paraId="2F164DD0" w14:textId="77777777" w:rsidR="009F5027" w:rsidRPr="00CD1E68" w:rsidRDefault="009F5027" w:rsidP="00721851">
            <w:pPr>
              <w:jc w:val="center"/>
              <w:rPr>
                <w:b/>
                <w:bCs/>
                <w:lang w:eastAsia="uk-UA"/>
              </w:rPr>
            </w:pPr>
          </w:p>
          <w:p w14:paraId="05B3F0EB" w14:textId="77777777" w:rsidR="009F5027" w:rsidRPr="00CD1E68" w:rsidRDefault="009F5027" w:rsidP="00721851">
            <w:pPr>
              <w:jc w:val="center"/>
              <w:rPr>
                <w:b/>
                <w:bCs/>
                <w:lang w:val="ru-RU" w:eastAsia="uk-UA"/>
              </w:rPr>
            </w:pPr>
          </w:p>
          <w:p w14:paraId="632E1E5E" w14:textId="77777777" w:rsidR="009F5027" w:rsidRPr="00CD1E68" w:rsidRDefault="009F5027" w:rsidP="00721851">
            <w:pPr>
              <w:jc w:val="center"/>
              <w:rPr>
                <w:b/>
                <w:bCs/>
                <w:lang w:val="ru-RU" w:eastAsia="uk-UA"/>
              </w:rPr>
            </w:pPr>
          </w:p>
          <w:p w14:paraId="7B4FE26C" w14:textId="77777777" w:rsidR="009F5027" w:rsidRPr="00CD1E68" w:rsidRDefault="009F5027" w:rsidP="00721851">
            <w:pPr>
              <w:jc w:val="center"/>
              <w:rPr>
                <w:b/>
                <w:bCs/>
                <w:lang w:val="ru-RU" w:eastAsia="uk-UA"/>
              </w:rPr>
            </w:pPr>
          </w:p>
          <w:p w14:paraId="42AE471D" w14:textId="77777777" w:rsidR="009F5027" w:rsidRPr="00CD1E68" w:rsidRDefault="009F5027" w:rsidP="00721851">
            <w:pPr>
              <w:jc w:val="center"/>
              <w:rPr>
                <w:b/>
                <w:bCs/>
                <w:lang w:val="ru-RU" w:eastAsia="uk-UA"/>
              </w:rPr>
            </w:pPr>
          </w:p>
          <w:p w14:paraId="32EB035F" w14:textId="77777777" w:rsidR="009F5027" w:rsidRPr="00CD1E68" w:rsidRDefault="009F5027" w:rsidP="00721851">
            <w:pPr>
              <w:jc w:val="center"/>
              <w:rPr>
                <w:b/>
                <w:bCs/>
                <w:lang w:val="ru-RU" w:eastAsia="uk-UA"/>
              </w:rPr>
            </w:pPr>
          </w:p>
          <w:p w14:paraId="7CED1333" w14:textId="77777777" w:rsidR="009F5027" w:rsidRPr="00CD1E68" w:rsidRDefault="009F5027" w:rsidP="00721851">
            <w:pPr>
              <w:jc w:val="center"/>
              <w:rPr>
                <w:b/>
                <w:bCs/>
                <w:lang w:val="ru-RU" w:eastAsia="uk-UA"/>
              </w:rPr>
            </w:pPr>
          </w:p>
          <w:p w14:paraId="2E067481" w14:textId="77777777" w:rsidR="009F5027" w:rsidRPr="00CD1E68" w:rsidRDefault="009F5027" w:rsidP="00721851">
            <w:pPr>
              <w:jc w:val="center"/>
              <w:rPr>
                <w:b/>
                <w:bCs/>
                <w:lang w:eastAsia="uk-UA"/>
              </w:rPr>
            </w:pPr>
          </w:p>
          <w:p w14:paraId="48B03EC5" w14:textId="77777777" w:rsidR="009F5027" w:rsidRPr="00CD1E68" w:rsidRDefault="009F5027" w:rsidP="00721851">
            <w:pPr>
              <w:jc w:val="center"/>
              <w:rPr>
                <w:b/>
              </w:rPr>
            </w:pPr>
            <w:r w:rsidRPr="00CD1E68">
              <w:rPr>
                <w:b/>
                <w:bCs/>
                <w:lang w:eastAsia="uk-UA"/>
              </w:rPr>
              <w:lastRenderedPageBreak/>
              <w:t xml:space="preserve">Питання до заліку </w:t>
            </w:r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B8E61" w14:textId="1E4B588D" w:rsidR="00A207EF" w:rsidRPr="00CD1E68" w:rsidRDefault="00A207EF" w:rsidP="00A207EF">
            <w:pPr>
              <w:pStyle w:val="11"/>
              <w:spacing w:line="276" w:lineRule="auto"/>
              <w:ind w:left="709" w:firstLine="0"/>
              <w:jc w:val="both"/>
              <w:rPr>
                <w:sz w:val="24"/>
                <w:szCs w:val="24"/>
              </w:rPr>
            </w:pPr>
            <w:bookmarkStart w:id="3" w:name="_Hlk532468802"/>
            <w:r w:rsidRPr="00CD1E68">
              <w:rPr>
                <w:sz w:val="24"/>
                <w:szCs w:val="24"/>
              </w:rPr>
              <w:lastRenderedPageBreak/>
              <w:t>Перелік запитань для підсумкового контролю:</w:t>
            </w:r>
          </w:p>
          <w:p w14:paraId="75055950" w14:textId="1A86E929" w:rsidR="00524A90" w:rsidRPr="00CD1E68" w:rsidRDefault="00524A90" w:rsidP="00524A90">
            <w:pPr>
              <w:pStyle w:val="11"/>
              <w:numPr>
                <w:ilvl w:val="0"/>
                <w:numId w:val="23"/>
              </w:numPr>
              <w:spacing w:line="276" w:lineRule="auto"/>
              <w:ind w:left="0" w:firstLine="709"/>
              <w:jc w:val="both"/>
              <w:rPr>
                <w:sz w:val="24"/>
                <w:szCs w:val="24"/>
              </w:rPr>
            </w:pPr>
            <w:r w:rsidRPr="00CD1E68">
              <w:rPr>
                <w:sz w:val="24"/>
                <w:szCs w:val="24"/>
              </w:rPr>
              <w:t>Поняття спеціальних знань. Співвідношення «спеціальних знань», «правових знань» і «професійних знань суб’єкта доказування».</w:t>
            </w:r>
          </w:p>
          <w:p w14:paraId="647B429F" w14:textId="77777777" w:rsidR="00524A90" w:rsidRPr="00CD1E68" w:rsidRDefault="00524A90" w:rsidP="00524A90">
            <w:pPr>
              <w:pStyle w:val="a5"/>
              <w:numPr>
                <w:ilvl w:val="0"/>
                <w:numId w:val="23"/>
              </w:numPr>
              <w:spacing w:after="0"/>
              <w:ind w:left="0" w:firstLine="70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bookmarkStart w:id="4" w:name="_Hlk532468248"/>
            <w:bookmarkEnd w:id="3"/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Форми застосування спеціальних знань у слідчій та судовій практиці і місце серед них судової експертизи</w:t>
            </w:r>
            <w:bookmarkEnd w:id="4"/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. </w:t>
            </w:r>
          </w:p>
          <w:p w14:paraId="27036AD6" w14:textId="49265D2C" w:rsidR="00A207EF" w:rsidRPr="00CD1E68" w:rsidRDefault="00A207EF" w:rsidP="00A207EF">
            <w:pPr>
              <w:pStyle w:val="Style61"/>
              <w:widowControl/>
              <w:numPr>
                <w:ilvl w:val="0"/>
                <w:numId w:val="23"/>
              </w:numPr>
              <w:tabs>
                <w:tab w:val="left" w:pos="0"/>
              </w:tabs>
              <w:spacing w:line="240" w:lineRule="auto"/>
              <w:ind w:left="0" w:firstLine="709"/>
              <w:rPr>
                <w:rFonts w:ascii="Times New Roman" w:hAnsi="Times New Roman" w:cs="Times New Roman"/>
                <w:lang w:val="uk-UA"/>
              </w:rPr>
            </w:pPr>
            <w:r w:rsidRPr="00CD1E68">
              <w:rPr>
                <w:rFonts w:ascii="Times New Roman" w:hAnsi="Times New Roman" w:cs="Times New Roman"/>
                <w:lang w:val="uk-UA"/>
              </w:rPr>
              <w:t>Допомога спеціаліста: види, процесуальний порядок та її оформлення.</w:t>
            </w:r>
          </w:p>
          <w:p w14:paraId="5FD13B1F" w14:textId="775C4644" w:rsidR="00A207EF" w:rsidRPr="00CD1E68" w:rsidRDefault="00A207EF" w:rsidP="00A207EF">
            <w:pPr>
              <w:pStyle w:val="Style61"/>
              <w:widowControl/>
              <w:numPr>
                <w:ilvl w:val="0"/>
                <w:numId w:val="23"/>
              </w:numPr>
              <w:tabs>
                <w:tab w:val="left" w:pos="0"/>
              </w:tabs>
              <w:spacing w:line="240" w:lineRule="auto"/>
              <w:ind w:left="0" w:firstLine="709"/>
              <w:rPr>
                <w:rFonts w:ascii="Times New Roman" w:hAnsi="Times New Roman" w:cs="Times New Roman"/>
                <w:lang w:val="uk-UA"/>
              </w:rPr>
            </w:pPr>
            <w:r w:rsidRPr="00CD1E68">
              <w:rPr>
                <w:rFonts w:ascii="Times New Roman" w:hAnsi="Times New Roman" w:cs="Times New Roman"/>
                <w:lang w:val="uk-UA"/>
              </w:rPr>
              <w:t>Акти ревізій та перевірок: порядок отримання та використання в доказуванні.</w:t>
            </w:r>
          </w:p>
          <w:p w14:paraId="67B7A7D3" w14:textId="56E65CF4" w:rsidR="00524A90" w:rsidRPr="00CD1E68" w:rsidRDefault="00524A90" w:rsidP="00524A90">
            <w:pPr>
              <w:pStyle w:val="a5"/>
              <w:numPr>
                <w:ilvl w:val="0"/>
                <w:numId w:val="23"/>
              </w:numPr>
              <w:spacing w:after="0"/>
              <w:ind w:left="0" w:firstLine="70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Значення, завдання і ознаки судової експертизи як самостійної процесуальної форми використання спеціальних знань у судочинстві. </w:t>
            </w:r>
          </w:p>
          <w:p w14:paraId="0BAE303C" w14:textId="5E88D1E8" w:rsidR="00524A90" w:rsidRPr="00CD1E68" w:rsidRDefault="00A207EF" w:rsidP="00524A90">
            <w:pPr>
              <w:pStyle w:val="a5"/>
              <w:numPr>
                <w:ilvl w:val="0"/>
                <w:numId w:val="23"/>
              </w:numPr>
              <w:spacing w:after="0"/>
              <w:ind w:left="0" w:firstLine="70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bookmarkStart w:id="5" w:name="_Hlk532468827"/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Поняття судової експертизи. </w:t>
            </w:r>
            <w:r w:rsidR="00524A90" w:rsidRPr="00CD1E6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Співвідношення судової експертизи й участі спеціаліста у ході процесуальних (слідчих) дій.</w:t>
            </w:r>
          </w:p>
          <w:bookmarkEnd w:id="5"/>
          <w:p w14:paraId="347D1476" w14:textId="41E9A63F" w:rsidR="00524A90" w:rsidRPr="00CD1E68" w:rsidRDefault="00524A90" w:rsidP="00524A90">
            <w:pPr>
              <w:pStyle w:val="Style61"/>
              <w:widowControl/>
              <w:numPr>
                <w:ilvl w:val="0"/>
                <w:numId w:val="23"/>
              </w:numPr>
              <w:tabs>
                <w:tab w:val="left" w:pos="0"/>
              </w:tabs>
              <w:spacing w:line="240" w:lineRule="auto"/>
              <w:ind w:left="0" w:firstLine="709"/>
              <w:rPr>
                <w:rFonts w:ascii="Times New Roman" w:hAnsi="Times New Roman" w:cs="Times New Roman"/>
                <w:lang w:val="uk-UA"/>
              </w:rPr>
            </w:pPr>
            <w:r w:rsidRPr="00CD1E68">
              <w:rPr>
                <w:rFonts w:ascii="Times New Roman" w:hAnsi="Times New Roman" w:cs="Times New Roman"/>
                <w:lang w:val="uk-UA"/>
              </w:rPr>
              <w:t>Співвідношення судової експертизи з іншими державними експертизами.</w:t>
            </w:r>
          </w:p>
          <w:p w14:paraId="3D86C237" w14:textId="77777777" w:rsidR="00524A90" w:rsidRPr="00CD1E68" w:rsidRDefault="00524A90" w:rsidP="00524A90">
            <w:pPr>
              <w:pStyle w:val="a5"/>
              <w:numPr>
                <w:ilvl w:val="0"/>
                <w:numId w:val="23"/>
              </w:numPr>
              <w:spacing w:after="0"/>
              <w:ind w:left="0" w:firstLine="70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Правова база судової експертизи: джерела та їх характеристика.</w:t>
            </w:r>
          </w:p>
          <w:p w14:paraId="75D59F87" w14:textId="5B131797" w:rsidR="00524A90" w:rsidRPr="00CD1E68" w:rsidRDefault="00524A90" w:rsidP="00524A90">
            <w:pPr>
              <w:pStyle w:val="a5"/>
              <w:numPr>
                <w:ilvl w:val="0"/>
                <w:numId w:val="23"/>
              </w:numPr>
              <w:spacing w:after="0"/>
              <w:ind w:left="0" w:firstLine="70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Підстави</w:t>
            </w:r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залучення судового експерта</w:t>
            </w:r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</w:p>
          <w:p w14:paraId="1F55FF4C" w14:textId="77777777" w:rsidR="00524A90" w:rsidRPr="00CD1E68" w:rsidRDefault="00524A90" w:rsidP="00524A90">
            <w:pPr>
              <w:pStyle w:val="a5"/>
              <w:numPr>
                <w:ilvl w:val="0"/>
                <w:numId w:val="23"/>
              </w:numPr>
              <w:spacing w:after="0"/>
              <w:ind w:left="0" w:firstLine="70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Предмет та об’єкт судової експертизи.</w:t>
            </w:r>
          </w:p>
          <w:p w14:paraId="412FC6D3" w14:textId="77777777" w:rsidR="00524A90" w:rsidRPr="00CD1E68" w:rsidRDefault="00524A90" w:rsidP="00524A90">
            <w:pPr>
              <w:pStyle w:val="12"/>
              <w:numPr>
                <w:ilvl w:val="0"/>
                <w:numId w:val="23"/>
              </w:numPr>
              <w:shd w:val="clear" w:color="auto" w:fill="auto"/>
              <w:spacing w:after="0" w:line="276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532468222"/>
            <w:r w:rsidRPr="00CD1E68">
              <w:rPr>
                <w:rFonts w:ascii="Times New Roman" w:hAnsi="Times New Roman" w:cs="Times New Roman"/>
                <w:sz w:val="24"/>
                <w:szCs w:val="24"/>
              </w:rPr>
              <w:t>Класифікація судових експертиз за організаційно-правовими критеріями.</w:t>
            </w:r>
          </w:p>
          <w:bookmarkEnd w:id="6"/>
          <w:p w14:paraId="60EB59AD" w14:textId="77777777" w:rsidR="00524A90" w:rsidRPr="00CD1E68" w:rsidRDefault="00524A90" w:rsidP="00524A90">
            <w:pPr>
              <w:pStyle w:val="12"/>
              <w:numPr>
                <w:ilvl w:val="0"/>
                <w:numId w:val="23"/>
              </w:numPr>
              <w:shd w:val="clear" w:color="auto" w:fill="auto"/>
              <w:spacing w:after="0" w:line="276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D1E68">
              <w:rPr>
                <w:rFonts w:ascii="Times New Roman" w:hAnsi="Times New Roman" w:cs="Times New Roman"/>
                <w:sz w:val="24"/>
                <w:szCs w:val="24"/>
              </w:rPr>
              <w:t>Класифікація судових експертиз за предметним критерієм</w:t>
            </w:r>
          </w:p>
          <w:p w14:paraId="3FDC378F" w14:textId="77777777" w:rsidR="00524A90" w:rsidRPr="00CD1E68" w:rsidRDefault="00524A90" w:rsidP="00524A90">
            <w:pPr>
              <w:pStyle w:val="11"/>
              <w:numPr>
                <w:ilvl w:val="0"/>
                <w:numId w:val="23"/>
              </w:numPr>
              <w:spacing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CD1E68">
              <w:rPr>
                <w:sz w:val="24"/>
                <w:szCs w:val="24"/>
              </w:rPr>
              <w:t>Процесуальний статус судового експерта: вимоги, права та обов'язки судового експерта. Підстави та види відповідальності експерта.</w:t>
            </w:r>
          </w:p>
          <w:p w14:paraId="7E4C507F" w14:textId="77777777" w:rsidR="00524A90" w:rsidRPr="00CD1E68" w:rsidRDefault="00524A90" w:rsidP="00524A90">
            <w:pPr>
              <w:pStyle w:val="11"/>
              <w:numPr>
                <w:ilvl w:val="0"/>
                <w:numId w:val="23"/>
              </w:numPr>
              <w:spacing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CD1E68">
              <w:rPr>
                <w:sz w:val="24"/>
                <w:szCs w:val="24"/>
              </w:rPr>
              <w:t>Судово-експертна діяльність: поняття, мета, структура.</w:t>
            </w:r>
          </w:p>
          <w:p w14:paraId="50B91963" w14:textId="77777777" w:rsidR="00524A90" w:rsidRPr="00CD1E68" w:rsidRDefault="00524A90" w:rsidP="00524A90">
            <w:pPr>
              <w:pStyle w:val="11"/>
              <w:numPr>
                <w:ilvl w:val="0"/>
                <w:numId w:val="23"/>
              </w:numPr>
              <w:spacing w:line="240" w:lineRule="auto"/>
              <w:ind w:left="0" w:firstLine="709"/>
              <w:jc w:val="both"/>
              <w:rPr>
                <w:sz w:val="24"/>
                <w:szCs w:val="24"/>
              </w:rPr>
            </w:pPr>
            <w:proofErr w:type="spellStart"/>
            <w:r w:rsidRPr="00CD1E68">
              <w:rPr>
                <w:sz w:val="24"/>
                <w:szCs w:val="24"/>
              </w:rPr>
              <w:t>Cубєкти</w:t>
            </w:r>
            <w:proofErr w:type="spellEnd"/>
            <w:r w:rsidRPr="00CD1E68">
              <w:rPr>
                <w:sz w:val="24"/>
                <w:szCs w:val="24"/>
              </w:rPr>
              <w:t>, принципи, особливості судово-експертної діяльності.</w:t>
            </w:r>
          </w:p>
          <w:p w14:paraId="680FD18A" w14:textId="77777777" w:rsidR="00524A90" w:rsidRPr="00CD1E68" w:rsidRDefault="00524A90" w:rsidP="00524A90">
            <w:pPr>
              <w:pStyle w:val="11"/>
              <w:numPr>
                <w:ilvl w:val="0"/>
                <w:numId w:val="23"/>
              </w:numPr>
              <w:spacing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CD1E68">
              <w:rPr>
                <w:sz w:val="24"/>
                <w:szCs w:val="24"/>
              </w:rPr>
              <w:lastRenderedPageBreak/>
              <w:t>Судово-експертні установи в Україні, їх структура, мережа та компетенція.</w:t>
            </w:r>
          </w:p>
          <w:p w14:paraId="41E68E86" w14:textId="77777777" w:rsidR="00524A90" w:rsidRPr="00CD1E68" w:rsidRDefault="00524A90" w:rsidP="00524A90">
            <w:pPr>
              <w:pStyle w:val="a5"/>
              <w:numPr>
                <w:ilvl w:val="0"/>
                <w:numId w:val="23"/>
              </w:numPr>
              <w:tabs>
                <w:tab w:val="left" w:pos="0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bookmarkStart w:id="7" w:name="_Hlk532468630"/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Проведення судової експертизи як процесуальна дія: етапи та завдання, що охоплюються кожним з них.</w:t>
            </w:r>
          </w:p>
          <w:p w14:paraId="44F67A07" w14:textId="77777777" w:rsidR="00524A90" w:rsidRPr="00CD1E68" w:rsidRDefault="00524A90" w:rsidP="00524A90">
            <w:pPr>
              <w:pStyle w:val="a5"/>
              <w:numPr>
                <w:ilvl w:val="0"/>
                <w:numId w:val="23"/>
              </w:numPr>
              <w:tabs>
                <w:tab w:val="left" w:pos="0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bookmarkStart w:id="8" w:name="_Hlk532468575"/>
            <w:bookmarkEnd w:id="7"/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Тактика підготовки судової експертизи та залучення судового експерта. Елементи, що охоплюються цим етапом. </w:t>
            </w:r>
          </w:p>
          <w:bookmarkEnd w:id="8"/>
          <w:p w14:paraId="3EB44618" w14:textId="77777777" w:rsidR="00524A90" w:rsidRPr="00CD1E68" w:rsidRDefault="00524A90" w:rsidP="00524A90">
            <w:pPr>
              <w:pStyle w:val="a5"/>
              <w:numPr>
                <w:ilvl w:val="0"/>
                <w:numId w:val="23"/>
              </w:numPr>
              <w:tabs>
                <w:tab w:val="left" w:pos="0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Прийняття тактичного рішення про залучення експерта, визначення напрямків роботи щодо її підготовки. Вибір моменту призначення судової експертизи.</w:t>
            </w:r>
          </w:p>
          <w:p w14:paraId="24F1E19C" w14:textId="77777777" w:rsidR="00524A90" w:rsidRPr="00CD1E68" w:rsidRDefault="00524A90" w:rsidP="00524A90">
            <w:pPr>
              <w:pStyle w:val="11"/>
              <w:numPr>
                <w:ilvl w:val="0"/>
                <w:numId w:val="23"/>
              </w:numPr>
              <w:spacing w:line="276" w:lineRule="auto"/>
              <w:ind w:left="0" w:firstLine="709"/>
              <w:jc w:val="both"/>
              <w:rPr>
                <w:sz w:val="24"/>
                <w:szCs w:val="24"/>
              </w:rPr>
            </w:pPr>
            <w:bookmarkStart w:id="9" w:name="_Hlk532468173"/>
            <w:r w:rsidRPr="00CD1E68">
              <w:rPr>
                <w:sz w:val="24"/>
                <w:szCs w:val="24"/>
              </w:rPr>
              <w:t>Поняття та складові «матеріалів для судової експертизи». Загальні правила підготовки об'єктів та інших матеріалів для проведення судових експертиз. Процесуальне значення правильності їх оформлення.</w:t>
            </w:r>
          </w:p>
          <w:bookmarkEnd w:id="9"/>
          <w:p w14:paraId="6E68DDCF" w14:textId="77777777" w:rsidR="00524A90" w:rsidRPr="00CD1E68" w:rsidRDefault="00524A90" w:rsidP="00524A90">
            <w:pPr>
              <w:pStyle w:val="11"/>
              <w:numPr>
                <w:ilvl w:val="0"/>
                <w:numId w:val="23"/>
              </w:numPr>
              <w:spacing w:line="216" w:lineRule="auto"/>
              <w:ind w:left="0" w:firstLine="709"/>
              <w:jc w:val="both"/>
              <w:rPr>
                <w:sz w:val="24"/>
                <w:szCs w:val="24"/>
              </w:rPr>
            </w:pPr>
            <w:r w:rsidRPr="00CD1E68">
              <w:rPr>
                <w:sz w:val="24"/>
                <w:szCs w:val="24"/>
              </w:rPr>
              <w:t>Розкрийте алгоритм визначення виду, предмета судової експертизи, що залучається, та судово-експертної установи (експерта), що має її проводити.</w:t>
            </w:r>
          </w:p>
          <w:p w14:paraId="48123A9F" w14:textId="77777777" w:rsidR="00524A90" w:rsidRPr="00CD1E68" w:rsidRDefault="00524A90" w:rsidP="00524A90">
            <w:pPr>
              <w:pStyle w:val="11"/>
              <w:numPr>
                <w:ilvl w:val="0"/>
                <w:numId w:val="23"/>
              </w:numPr>
              <w:spacing w:line="276" w:lineRule="auto"/>
              <w:ind w:left="0" w:firstLine="709"/>
              <w:jc w:val="both"/>
              <w:rPr>
                <w:sz w:val="24"/>
                <w:szCs w:val="24"/>
              </w:rPr>
            </w:pPr>
            <w:bookmarkStart w:id="10" w:name="_Hlk532468277"/>
            <w:r w:rsidRPr="00CD1E68">
              <w:rPr>
                <w:sz w:val="24"/>
                <w:szCs w:val="24"/>
              </w:rPr>
              <w:t>Залучення експертів і проведення судових експертиз в державних експертних установах.</w:t>
            </w:r>
          </w:p>
          <w:bookmarkEnd w:id="10"/>
          <w:p w14:paraId="7E5FB94E" w14:textId="77777777" w:rsidR="00524A90" w:rsidRPr="00CD1E68" w:rsidRDefault="00524A90" w:rsidP="00524A90">
            <w:pPr>
              <w:pStyle w:val="11"/>
              <w:numPr>
                <w:ilvl w:val="0"/>
                <w:numId w:val="23"/>
              </w:numPr>
              <w:spacing w:line="276" w:lineRule="auto"/>
              <w:ind w:left="0" w:firstLine="709"/>
              <w:jc w:val="both"/>
              <w:rPr>
                <w:sz w:val="24"/>
                <w:szCs w:val="24"/>
              </w:rPr>
            </w:pPr>
            <w:r w:rsidRPr="00CD1E68">
              <w:rPr>
                <w:sz w:val="24"/>
                <w:szCs w:val="24"/>
              </w:rPr>
              <w:t>Особливості залучення експертів з Реєстру, які не працюють у державних експертних установах, та громадян за разовими договорами до проведення судових експертиз у судочинстві України.</w:t>
            </w:r>
          </w:p>
          <w:p w14:paraId="3954D37B" w14:textId="77777777" w:rsidR="00524A90" w:rsidRPr="00CD1E68" w:rsidRDefault="00524A90" w:rsidP="00524A90">
            <w:pPr>
              <w:pStyle w:val="11"/>
              <w:numPr>
                <w:ilvl w:val="0"/>
                <w:numId w:val="23"/>
              </w:numPr>
              <w:spacing w:line="216" w:lineRule="auto"/>
              <w:ind w:left="0" w:firstLine="709"/>
              <w:jc w:val="both"/>
              <w:rPr>
                <w:sz w:val="24"/>
                <w:szCs w:val="24"/>
              </w:rPr>
            </w:pPr>
            <w:bookmarkStart w:id="11" w:name="_Hlk532468660"/>
            <w:r w:rsidRPr="00CD1E68">
              <w:rPr>
                <w:sz w:val="24"/>
                <w:szCs w:val="24"/>
              </w:rPr>
              <w:t xml:space="preserve">Поняття первинної експертизи. Підстави й особливості проведення додаткової та повторної експертизи за КПК України. </w:t>
            </w:r>
          </w:p>
          <w:bookmarkEnd w:id="11"/>
          <w:p w14:paraId="0641F020" w14:textId="77777777" w:rsidR="00524A90" w:rsidRPr="00CD1E68" w:rsidRDefault="00524A90" w:rsidP="00524A90">
            <w:pPr>
              <w:pStyle w:val="11"/>
              <w:numPr>
                <w:ilvl w:val="0"/>
                <w:numId w:val="23"/>
              </w:numPr>
              <w:spacing w:line="276" w:lineRule="auto"/>
              <w:ind w:left="0" w:firstLine="709"/>
              <w:jc w:val="both"/>
              <w:rPr>
                <w:sz w:val="24"/>
                <w:szCs w:val="24"/>
              </w:rPr>
            </w:pPr>
            <w:r w:rsidRPr="00CD1E68">
              <w:rPr>
                <w:sz w:val="24"/>
                <w:szCs w:val="24"/>
              </w:rPr>
              <w:t>Поняття й загальна характеристика комісійної та комплексної експертизи. Підстави їх призначення й порядок проведення. Чи може бути комплексне експертне дослідження одноосібним? Якщо так, то за яких умов і які його особливості?</w:t>
            </w:r>
          </w:p>
          <w:p w14:paraId="2AA5B852" w14:textId="177BB04F" w:rsidR="00524A90" w:rsidRPr="00CD1E68" w:rsidRDefault="00524A90" w:rsidP="00524A90">
            <w:pPr>
              <w:pStyle w:val="11"/>
              <w:numPr>
                <w:ilvl w:val="0"/>
                <w:numId w:val="23"/>
              </w:numPr>
              <w:spacing w:line="276" w:lineRule="auto"/>
              <w:ind w:left="0" w:firstLine="709"/>
              <w:jc w:val="both"/>
              <w:rPr>
                <w:sz w:val="24"/>
                <w:szCs w:val="24"/>
              </w:rPr>
            </w:pPr>
            <w:r w:rsidRPr="00CD1E68">
              <w:rPr>
                <w:sz w:val="24"/>
                <w:szCs w:val="24"/>
              </w:rPr>
              <w:t>Структура ухвали слідчого судді (суду)</w:t>
            </w:r>
            <w:r w:rsidR="00A207EF" w:rsidRPr="00CD1E68">
              <w:rPr>
                <w:sz w:val="24"/>
                <w:szCs w:val="24"/>
              </w:rPr>
              <w:t>, постанови слідчого</w:t>
            </w:r>
            <w:r w:rsidRPr="00CD1E68">
              <w:rPr>
                <w:sz w:val="24"/>
                <w:szCs w:val="24"/>
              </w:rPr>
              <w:t xml:space="preserve"> про залучення експерта та доручення йому проведення судової експертизи. Процесуальне значення дотримання її встановленої форми.</w:t>
            </w:r>
          </w:p>
          <w:p w14:paraId="329CDA36" w14:textId="7F277DFE" w:rsidR="00524A90" w:rsidRPr="00CD1E68" w:rsidRDefault="00524A90" w:rsidP="00524A90">
            <w:pPr>
              <w:pStyle w:val="11"/>
              <w:numPr>
                <w:ilvl w:val="0"/>
                <w:numId w:val="23"/>
              </w:numPr>
              <w:spacing w:line="276" w:lineRule="auto"/>
              <w:ind w:left="0" w:firstLine="709"/>
              <w:jc w:val="both"/>
              <w:rPr>
                <w:sz w:val="24"/>
                <w:szCs w:val="24"/>
              </w:rPr>
            </w:pPr>
            <w:r w:rsidRPr="00CD1E68">
              <w:rPr>
                <w:sz w:val="24"/>
                <w:szCs w:val="24"/>
              </w:rPr>
              <w:t>Права підозрюваного, потерпілого, цивільного позивача, цивільного відповідача щодо залучення експерта й оцінки висновків судових експертиз за КПК України.</w:t>
            </w:r>
          </w:p>
          <w:p w14:paraId="29197B6D" w14:textId="00C846A8" w:rsidR="00A207EF" w:rsidRPr="00CD1E68" w:rsidRDefault="00A207EF" w:rsidP="00524A90">
            <w:pPr>
              <w:pStyle w:val="11"/>
              <w:numPr>
                <w:ilvl w:val="0"/>
                <w:numId w:val="23"/>
              </w:numPr>
              <w:spacing w:line="276" w:lineRule="auto"/>
              <w:ind w:left="0" w:firstLine="709"/>
              <w:jc w:val="both"/>
              <w:rPr>
                <w:sz w:val="24"/>
                <w:szCs w:val="24"/>
              </w:rPr>
            </w:pPr>
            <w:r w:rsidRPr="00CD1E68">
              <w:rPr>
                <w:sz w:val="24"/>
                <w:szCs w:val="24"/>
              </w:rPr>
              <w:t>Підстави та порядок відводу експерта.</w:t>
            </w:r>
          </w:p>
          <w:p w14:paraId="466C1AD7" w14:textId="77777777" w:rsidR="00524A90" w:rsidRPr="00CD1E68" w:rsidRDefault="00524A90" w:rsidP="00524A90">
            <w:pPr>
              <w:pStyle w:val="ac"/>
              <w:numPr>
                <w:ilvl w:val="0"/>
                <w:numId w:val="23"/>
              </w:numPr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68">
              <w:rPr>
                <w:rFonts w:ascii="Times New Roman" w:hAnsi="Times New Roman" w:cs="Times New Roman"/>
                <w:sz w:val="24"/>
                <w:szCs w:val="24"/>
              </w:rPr>
              <w:t xml:space="preserve">Поняття етапу експертного дослідження (робочого етапу проведення судової експертизи) та його елементи. </w:t>
            </w:r>
          </w:p>
          <w:p w14:paraId="3C4E800C" w14:textId="77777777" w:rsidR="00524A90" w:rsidRPr="00CD1E68" w:rsidRDefault="00524A90" w:rsidP="00524A90">
            <w:pPr>
              <w:pStyle w:val="ac"/>
              <w:numPr>
                <w:ilvl w:val="0"/>
                <w:numId w:val="23"/>
              </w:numPr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68">
              <w:rPr>
                <w:rFonts w:ascii="Times New Roman" w:hAnsi="Times New Roman" w:cs="Times New Roman"/>
                <w:sz w:val="24"/>
                <w:szCs w:val="24"/>
              </w:rPr>
              <w:t>Загальна характеристика методики судово-експертного дослідження та її стадії.</w:t>
            </w:r>
          </w:p>
          <w:p w14:paraId="2A933350" w14:textId="77777777" w:rsidR="00524A90" w:rsidRPr="00CD1E68" w:rsidRDefault="00524A90" w:rsidP="00524A9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D1E6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Характеристика методів і спеціальних криміналістичних методик, що застосовуються при ідентифікаційних дослідженнях окремих видів об’єктів.</w:t>
            </w:r>
          </w:p>
          <w:p w14:paraId="6C244D91" w14:textId="77777777" w:rsidR="00524A90" w:rsidRPr="00CD1E68" w:rsidRDefault="00524A90" w:rsidP="00524A90">
            <w:pPr>
              <w:pStyle w:val="11"/>
              <w:numPr>
                <w:ilvl w:val="0"/>
                <w:numId w:val="23"/>
              </w:numPr>
              <w:spacing w:line="240" w:lineRule="auto"/>
              <w:ind w:left="0" w:firstLine="709"/>
              <w:jc w:val="both"/>
              <w:rPr>
                <w:sz w:val="24"/>
                <w:szCs w:val="24"/>
              </w:rPr>
            </w:pPr>
            <w:bookmarkStart w:id="12" w:name="_Hlk532468378"/>
            <w:r w:rsidRPr="00CD1E68">
              <w:rPr>
                <w:sz w:val="24"/>
                <w:szCs w:val="24"/>
              </w:rPr>
              <w:t xml:space="preserve">Процесуальні вимоги до висновку експерта і джерел його формування. </w:t>
            </w:r>
          </w:p>
          <w:bookmarkEnd w:id="12"/>
          <w:p w14:paraId="47C094C8" w14:textId="77777777" w:rsidR="00524A90" w:rsidRPr="00CD1E68" w:rsidRDefault="00524A90" w:rsidP="00524A90">
            <w:pPr>
              <w:pStyle w:val="11"/>
              <w:numPr>
                <w:ilvl w:val="0"/>
                <w:numId w:val="23"/>
              </w:numPr>
              <w:spacing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CD1E68">
              <w:rPr>
                <w:sz w:val="24"/>
                <w:szCs w:val="24"/>
              </w:rPr>
              <w:t xml:space="preserve">Порядок формування висновків одноосібних, комісійних та комплексних експертиз. </w:t>
            </w:r>
          </w:p>
          <w:p w14:paraId="4218A615" w14:textId="77777777" w:rsidR="00524A90" w:rsidRPr="00CD1E68" w:rsidRDefault="00524A90" w:rsidP="00524A90">
            <w:pPr>
              <w:pStyle w:val="11"/>
              <w:numPr>
                <w:ilvl w:val="0"/>
                <w:numId w:val="23"/>
              </w:numPr>
              <w:spacing w:line="216" w:lineRule="auto"/>
              <w:ind w:left="0" w:firstLine="709"/>
              <w:jc w:val="both"/>
              <w:rPr>
                <w:sz w:val="24"/>
                <w:szCs w:val="24"/>
              </w:rPr>
            </w:pPr>
            <w:bookmarkStart w:id="13" w:name="_Hlk532468554"/>
            <w:r w:rsidRPr="00CD1E68">
              <w:rPr>
                <w:sz w:val="24"/>
                <w:szCs w:val="24"/>
              </w:rPr>
              <w:t xml:space="preserve">Форми висновків за ступенем категоричності: </w:t>
            </w:r>
            <w:proofErr w:type="spellStart"/>
            <w:r w:rsidRPr="00CD1E68">
              <w:rPr>
                <w:sz w:val="24"/>
                <w:szCs w:val="24"/>
              </w:rPr>
              <w:t>характристика</w:t>
            </w:r>
            <w:proofErr w:type="spellEnd"/>
            <w:r w:rsidRPr="00CD1E68">
              <w:rPr>
                <w:sz w:val="24"/>
                <w:szCs w:val="24"/>
              </w:rPr>
              <w:t xml:space="preserve"> та доказове значення.</w:t>
            </w:r>
          </w:p>
          <w:p w14:paraId="46A83CE9" w14:textId="77777777" w:rsidR="00524A90" w:rsidRPr="00CD1E68" w:rsidRDefault="00524A90" w:rsidP="00524A90">
            <w:pPr>
              <w:pStyle w:val="11"/>
              <w:numPr>
                <w:ilvl w:val="0"/>
                <w:numId w:val="23"/>
              </w:numPr>
              <w:spacing w:line="240" w:lineRule="auto"/>
              <w:ind w:left="0" w:firstLine="709"/>
              <w:jc w:val="both"/>
              <w:rPr>
                <w:sz w:val="24"/>
                <w:szCs w:val="24"/>
              </w:rPr>
            </w:pPr>
            <w:bookmarkStart w:id="14" w:name="_Hlk532468784"/>
            <w:bookmarkEnd w:id="13"/>
            <w:r w:rsidRPr="00CD1E68">
              <w:rPr>
                <w:sz w:val="24"/>
                <w:szCs w:val="24"/>
              </w:rPr>
              <w:t xml:space="preserve">Завдання і види </w:t>
            </w:r>
            <w:r w:rsidRPr="00CD1E68">
              <w:rPr>
                <w:sz w:val="24"/>
                <w:szCs w:val="24"/>
                <w:lang w:val="ru-RU"/>
              </w:rPr>
              <w:t>(</w:t>
            </w:r>
            <w:r w:rsidRPr="00CD1E68">
              <w:rPr>
                <w:sz w:val="24"/>
                <w:szCs w:val="24"/>
              </w:rPr>
              <w:t>стадії</w:t>
            </w:r>
            <w:r w:rsidRPr="00CD1E68">
              <w:rPr>
                <w:sz w:val="24"/>
                <w:szCs w:val="24"/>
                <w:lang w:val="ru-RU"/>
              </w:rPr>
              <w:t>)</w:t>
            </w:r>
            <w:r w:rsidRPr="00CD1E68">
              <w:rPr>
                <w:sz w:val="24"/>
                <w:szCs w:val="24"/>
              </w:rPr>
              <w:t xml:space="preserve"> оцінки висновку експерта. Елементи оцінки висновку експерта та їх зміст.</w:t>
            </w:r>
          </w:p>
          <w:bookmarkEnd w:id="14"/>
          <w:p w14:paraId="3F3582D9" w14:textId="77777777" w:rsidR="00524A90" w:rsidRPr="00CD1E68" w:rsidRDefault="00524A90" w:rsidP="00524A90">
            <w:pPr>
              <w:pStyle w:val="11"/>
              <w:numPr>
                <w:ilvl w:val="0"/>
                <w:numId w:val="23"/>
              </w:numPr>
              <w:spacing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CD1E68">
              <w:rPr>
                <w:sz w:val="24"/>
                <w:szCs w:val="24"/>
              </w:rPr>
              <w:lastRenderedPageBreak/>
              <w:t>Поняття та предмет судово-почеркознавчої експертизи. Завдання, об'єкти та методи судово-почеркознавчих досліджень. Стадії методики судово-почеркознавчої експертизи.</w:t>
            </w:r>
          </w:p>
          <w:p w14:paraId="02E98E43" w14:textId="77777777" w:rsidR="00524A90" w:rsidRPr="00CD1E68" w:rsidRDefault="00524A90" w:rsidP="00524A90">
            <w:pPr>
              <w:pStyle w:val="11"/>
              <w:numPr>
                <w:ilvl w:val="0"/>
                <w:numId w:val="23"/>
              </w:numPr>
              <w:spacing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CD1E68">
              <w:rPr>
                <w:sz w:val="24"/>
                <w:szCs w:val="24"/>
              </w:rPr>
              <w:t xml:space="preserve">Поняття, наукова основа та об’єкти судової лінгвістичної експертизи. Її сучасні різновиди, завдання, що ними вирішуються. Правила підготовки матеріалів на лінгвістичні експертизи. </w:t>
            </w:r>
          </w:p>
          <w:p w14:paraId="55034222" w14:textId="77777777" w:rsidR="00524A90" w:rsidRPr="00CD1E68" w:rsidRDefault="00524A90" w:rsidP="00524A90">
            <w:pPr>
              <w:pStyle w:val="11"/>
              <w:numPr>
                <w:ilvl w:val="0"/>
                <w:numId w:val="23"/>
              </w:numPr>
              <w:spacing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CD1E68">
              <w:rPr>
                <w:sz w:val="24"/>
                <w:szCs w:val="24"/>
              </w:rPr>
              <w:t>Поняття судово-технічної експертизи документів, її сучасні різновиди.</w:t>
            </w:r>
          </w:p>
          <w:p w14:paraId="790CE91E" w14:textId="77777777" w:rsidR="00524A90" w:rsidRPr="00CD1E68" w:rsidRDefault="00524A90" w:rsidP="00524A90">
            <w:pPr>
              <w:pStyle w:val="11"/>
              <w:numPr>
                <w:ilvl w:val="0"/>
                <w:numId w:val="23"/>
              </w:numPr>
              <w:spacing w:line="216" w:lineRule="auto"/>
              <w:ind w:left="0" w:firstLine="709"/>
              <w:jc w:val="both"/>
              <w:rPr>
                <w:sz w:val="24"/>
                <w:szCs w:val="24"/>
              </w:rPr>
            </w:pPr>
            <w:r w:rsidRPr="00CD1E68">
              <w:rPr>
                <w:sz w:val="24"/>
                <w:szCs w:val="24"/>
              </w:rPr>
              <w:t>Особливості дослідження документів, виготовлених з використанням комп'ютерної техніки.</w:t>
            </w:r>
          </w:p>
          <w:p w14:paraId="7F5821C6" w14:textId="77777777" w:rsidR="00524A90" w:rsidRPr="00CD1E68" w:rsidRDefault="00524A90" w:rsidP="00524A90">
            <w:pPr>
              <w:pStyle w:val="11"/>
              <w:numPr>
                <w:ilvl w:val="0"/>
                <w:numId w:val="23"/>
              </w:numPr>
              <w:spacing w:line="276" w:lineRule="auto"/>
              <w:ind w:left="0" w:firstLine="709"/>
              <w:jc w:val="both"/>
              <w:rPr>
                <w:sz w:val="24"/>
                <w:szCs w:val="24"/>
              </w:rPr>
            </w:pPr>
            <w:r w:rsidRPr="00CD1E68">
              <w:rPr>
                <w:sz w:val="24"/>
                <w:szCs w:val="24"/>
              </w:rPr>
              <w:t xml:space="preserve">Дактилоскопічна експертиза: поняття та </w:t>
            </w:r>
            <w:r w:rsidRPr="00CD1E68">
              <w:rPr>
                <w:sz w:val="24"/>
                <w:szCs w:val="24"/>
              </w:rPr>
              <w:tab/>
              <w:t>загальна характеристика.</w:t>
            </w:r>
          </w:p>
          <w:p w14:paraId="7314AF20" w14:textId="77777777" w:rsidR="00524A90" w:rsidRPr="00CD1E68" w:rsidRDefault="00524A90" w:rsidP="00524A90">
            <w:pPr>
              <w:pStyle w:val="11"/>
              <w:numPr>
                <w:ilvl w:val="0"/>
                <w:numId w:val="23"/>
              </w:numPr>
              <w:spacing w:line="216" w:lineRule="auto"/>
              <w:ind w:left="0" w:firstLine="709"/>
              <w:jc w:val="both"/>
              <w:rPr>
                <w:sz w:val="24"/>
                <w:szCs w:val="24"/>
              </w:rPr>
            </w:pPr>
            <w:r w:rsidRPr="00CD1E68">
              <w:rPr>
                <w:sz w:val="24"/>
                <w:szCs w:val="24"/>
              </w:rPr>
              <w:t>Експертиза слідів ніг і взуття (ніг, вдягнутих у шкарпетки та панчохи): поняття та загальна характеристика.</w:t>
            </w:r>
          </w:p>
          <w:p w14:paraId="7B8F44C0" w14:textId="77777777" w:rsidR="00524A90" w:rsidRPr="00CD1E68" w:rsidRDefault="00524A90" w:rsidP="00524A90">
            <w:pPr>
              <w:pStyle w:val="11"/>
              <w:numPr>
                <w:ilvl w:val="0"/>
                <w:numId w:val="23"/>
              </w:numPr>
              <w:spacing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CD1E68">
              <w:rPr>
                <w:sz w:val="24"/>
                <w:szCs w:val="24"/>
              </w:rPr>
              <w:t>Завдання та різновиди судово-балістичної експертизи. Особливості підготовки матеріалів на балістичну експертизу.</w:t>
            </w:r>
          </w:p>
          <w:p w14:paraId="424D69C5" w14:textId="77777777" w:rsidR="00524A90" w:rsidRPr="00CD1E68" w:rsidRDefault="00524A90" w:rsidP="00524A90">
            <w:pPr>
              <w:pStyle w:val="11"/>
              <w:numPr>
                <w:ilvl w:val="0"/>
                <w:numId w:val="23"/>
              </w:numPr>
              <w:spacing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CD1E68">
              <w:rPr>
                <w:sz w:val="24"/>
                <w:szCs w:val="24"/>
              </w:rPr>
              <w:t xml:space="preserve">Характеристика </w:t>
            </w:r>
            <w:proofErr w:type="spellStart"/>
            <w:r w:rsidRPr="00CD1E68">
              <w:rPr>
                <w:sz w:val="24"/>
                <w:szCs w:val="24"/>
              </w:rPr>
              <w:t>вибухотехнічної</w:t>
            </w:r>
            <w:proofErr w:type="spellEnd"/>
            <w:r w:rsidRPr="00CD1E68">
              <w:rPr>
                <w:sz w:val="24"/>
                <w:szCs w:val="24"/>
              </w:rPr>
              <w:t xml:space="preserve"> експертизи. Її співвідношення із «технічною експертизою вибухів».</w:t>
            </w:r>
          </w:p>
          <w:p w14:paraId="2EDF7353" w14:textId="77777777" w:rsidR="00524A90" w:rsidRPr="00CD1E68" w:rsidRDefault="00524A90" w:rsidP="00524A90">
            <w:pPr>
              <w:pStyle w:val="11"/>
              <w:numPr>
                <w:ilvl w:val="0"/>
                <w:numId w:val="23"/>
              </w:numPr>
              <w:spacing w:line="216" w:lineRule="auto"/>
              <w:ind w:left="0" w:firstLine="709"/>
              <w:jc w:val="both"/>
              <w:rPr>
                <w:sz w:val="24"/>
                <w:szCs w:val="24"/>
              </w:rPr>
            </w:pPr>
            <w:bookmarkStart w:id="15" w:name="_Hlk532468865"/>
            <w:r w:rsidRPr="00CD1E68">
              <w:rPr>
                <w:sz w:val="24"/>
                <w:szCs w:val="24"/>
              </w:rPr>
              <w:t>Комплексна медично-балістична експертиза. Перелік питань, що нею вирішується, особливості її проведення.</w:t>
            </w:r>
          </w:p>
          <w:bookmarkEnd w:id="15"/>
          <w:p w14:paraId="4D57F8F0" w14:textId="77777777" w:rsidR="00524A90" w:rsidRPr="00CD1E68" w:rsidRDefault="00524A90" w:rsidP="00524A90">
            <w:pPr>
              <w:pStyle w:val="11"/>
              <w:numPr>
                <w:ilvl w:val="0"/>
                <w:numId w:val="23"/>
              </w:numPr>
              <w:spacing w:line="216" w:lineRule="auto"/>
              <w:ind w:left="0" w:firstLine="709"/>
              <w:jc w:val="both"/>
              <w:rPr>
                <w:sz w:val="24"/>
                <w:szCs w:val="24"/>
              </w:rPr>
            </w:pPr>
            <w:r w:rsidRPr="00CD1E68">
              <w:rPr>
                <w:sz w:val="24"/>
                <w:szCs w:val="24"/>
              </w:rPr>
              <w:t xml:space="preserve">Поняття та загальна характеристика </w:t>
            </w:r>
            <w:proofErr w:type="spellStart"/>
            <w:r w:rsidRPr="00CD1E68">
              <w:rPr>
                <w:sz w:val="24"/>
                <w:szCs w:val="24"/>
              </w:rPr>
              <w:t>фотопортретної</w:t>
            </w:r>
            <w:proofErr w:type="spellEnd"/>
            <w:r w:rsidRPr="00CD1E68">
              <w:rPr>
                <w:sz w:val="24"/>
                <w:szCs w:val="24"/>
              </w:rPr>
              <w:t xml:space="preserve"> експертизи. Перелік питань, що вирішуються </w:t>
            </w:r>
            <w:proofErr w:type="spellStart"/>
            <w:r w:rsidRPr="00CD1E68">
              <w:rPr>
                <w:sz w:val="24"/>
                <w:szCs w:val="24"/>
              </w:rPr>
              <w:t>фотопортретною</w:t>
            </w:r>
            <w:proofErr w:type="spellEnd"/>
            <w:r w:rsidRPr="00CD1E68">
              <w:rPr>
                <w:sz w:val="24"/>
                <w:szCs w:val="24"/>
              </w:rPr>
              <w:t xml:space="preserve"> експертизою.</w:t>
            </w:r>
          </w:p>
          <w:p w14:paraId="42F5FB76" w14:textId="77777777" w:rsidR="00524A90" w:rsidRPr="00CD1E68" w:rsidRDefault="00524A90" w:rsidP="00524A90">
            <w:pPr>
              <w:pStyle w:val="11"/>
              <w:numPr>
                <w:ilvl w:val="0"/>
                <w:numId w:val="23"/>
              </w:numPr>
              <w:spacing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CD1E68">
              <w:rPr>
                <w:sz w:val="24"/>
                <w:szCs w:val="24"/>
              </w:rPr>
              <w:t>Поняття та загальна характеристика технічної експертизи загального характеру.</w:t>
            </w:r>
          </w:p>
          <w:p w14:paraId="71BCA366" w14:textId="77777777" w:rsidR="00524A90" w:rsidRPr="00CD1E68" w:rsidRDefault="00524A90" w:rsidP="00524A90">
            <w:pPr>
              <w:pStyle w:val="11"/>
              <w:numPr>
                <w:ilvl w:val="0"/>
                <w:numId w:val="23"/>
              </w:numPr>
              <w:spacing w:line="240" w:lineRule="auto"/>
              <w:ind w:left="0" w:firstLine="709"/>
              <w:jc w:val="both"/>
              <w:rPr>
                <w:sz w:val="24"/>
                <w:szCs w:val="24"/>
              </w:rPr>
            </w:pPr>
            <w:bookmarkStart w:id="16" w:name="_Hlk532468951"/>
            <w:r w:rsidRPr="00CD1E68">
              <w:rPr>
                <w:sz w:val="24"/>
                <w:szCs w:val="24"/>
              </w:rPr>
              <w:t>Поняття, завдання та можливості пожежно-технічної експертизи.</w:t>
            </w:r>
            <w:bookmarkEnd w:id="16"/>
          </w:p>
          <w:p w14:paraId="6CD56F78" w14:textId="77777777" w:rsidR="00524A90" w:rsidRPr="00CD1E68" w:rsidRDefault="00524A90" w:rsidP="00524A90">
            <w:pPr>
              <w:pStyle w:val="11"/>
              <w:numPr>
                <w:ilvl w:val="0"/>
                <w:numId w:val="23"/>
              </w:numPr>
              <w:spacing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CD1E68">
              <w:rPr>
                <w:sz w:val="24"/>
                <w:szCs w:val="24"/>
              </w:rPr>
              <w:t>Поняття, завдання, сфера застосування та предмет (можливості) будівельно-технічної експертизи.</w:t>
            </w:r>
          </w:p>
          <w:p w14:paraId="532252B1" w14:textId="77777777" w:rsidR="00524A90" w:rsidRPr="00CD1E68" w:rsidRDefault="00524A90" w:rsidP="00524A90">
            <w:pPr>
              <w:pStyle w:val="11"/>
              <w:numPr>
                <w:ilvl w:val="0"/>
                <w:numId w:val="23"/>
              </w:numPr>
              <w:spacing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CD1E68">
              <w:rPr>
                <w:sz w:val="24"/>
                <w:szCs w:val="24"/>
              </w:rPr>
              <w:t>Поняття та завдання автотехнічної експертизи.</w:t>
            </w:r>
          </w:p>
          <w:p w14:paraId="44BD0811" w14:textId="448404AB" w:rsidR="009F5027" w:rsidRPr="00CD1E68" w:rsidRDefault="00524A90" w:rsidP="00524A90">
            <w:pPr>
              <w:pStyle w:val="11"/>
              <w:numPr>
                <w:ilvl w:val="0"/>
                <w:numId w:val="23"/>
              </w:numPr>
              <w:spacing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CD1E68">
              <w:rPr>
                <w:sz w:val="24"/>
                <w:szCs w:val="24"/>
              </w:rPr>
              <w:t>Поняття, завдання, сфера застосування та питання, які вирішуються технологічною експертизою.</w:t>
            </w:r>
          </w:p>
        </w:tc>
      </w:tr>
      <w:tr w:rsidR="00CD1E68" w:rsidRPr="00CD1E68" w14:paraId="0BC9E4ED" w14:textId="77777777" w:rsidTr="0072185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BF0E" w14:textId="77777777" w:rsidR="009F5027" w:rsidRPr="00CD1E68" w:rsidRDefault="009F5027" w:rsidP="00721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E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06044" w14:textId="77777777" w:rsidR="009F5027" w:rsidRPr="00CD1E68" w:rsidRDefault="009F5027" w:rsidP="0072185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1E68">
              <w:rPr>
                <w:rFonts w:ascii="Times New Roman" w:hAnsi="Times New Roman" w:cs="Times New Roman"/>
                <w:sz w:val="24"/>
                <w:szCs w:val="24"/>
              </w:rPr>
              <w:t>Анкету з метою оцінювання якості викладання курсу буде надано після завершення його вивчення</w:t>
            </w:r>
          </w:p>
        </w:tc>
      </w:tr>
    </w:tbl>
    <w:p w14:paraId="4F2C20AE" w14:textId="77777777" w:rsidR="00846301" w:rsidRPr="00CD1E68" w:rsidRDefault="00846301"/>
    <w:sectPr w:rsidR="00846301" w:rsidRPr="00CD1E68" w:rsidSect="00DB3AF7">
      <w:footerReference w:type="default" r:id="rId13"/>
      <w:pgSz w:w="12240" w:h="15840"/>
      <w:pgMar w:top="899" w:right="1134" w:bottom="1134" w:left="1134" w:header="720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KabarettD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B9E81" w14:textId="77777777" w:rsidR="00505D80" w:rsidRDefault="00CD1E68">
    <w:pPr>
      <w:pStyle w:val="a3"/>
      <w:framePr w:wrap="auto" w:vAnchor="text" w:hAnchor="page" w:x="10926" w:y="1"/>
    </w:pPr>
    <w:r>
      <w:fldChar w:fldCharType="begin"/>
    </w:r>
    <w:r>
      <w:instrText xml:space="preserve"> PAGE \* Arabic </w:instrText>
    </w:r>
    <w:r>
      <w:fldChar w:fldCharType="separate"/>
    </w:r>
    <w:r>
      <w:t>1</w:t>
    </w:r>
    <w:r>
      <w:fldChar w:fldCharType="end"/>
    </w:r>
  </w:p>
  <w:p w14:paraId="0F0C91B5" w14:textId="77777777" w:rsidR="00505D80" w:rsidRDefault="00CD1E68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85CC8"/>
    <w:multiLevelType w:val="hybridMultilevel"/>
    <w:tmpl w:val="9A0098A0"/>
    <w:lvl w:ilvl="0" w:tplc="0407000F">
      <w:start w:val="1"/>
      <w:numFmt w:val="decimal"/>
      <w:lvlText w:val="%1."/>
      <w:lvlJc w:val="left"/>
      <w:pPr>
        <w:ind w:left="1429" w:hanging="360"/>
      </w:p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2D020EC"/>
    <w:multiLevelType w:val="multilevel"/>
    <w:tmpl w:val="8FC624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A17616"/>
    <w:multiLevelType w:val="hybridMultilevel"/>
    <w:tmpl w:val="F342DAA6"/>
    <w:lvl w:ilvl="0" w:tplc="6DCCB248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2CA96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4CD0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3E6B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58F9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4277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7A1F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CAA7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DEE4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F37AE"/>
    <w:multiLevelType w:val="hybridMultilevel"/>
    <w:tmpl w:val="9F480BA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AFA77E4"/>
    <w:multiLevelType w:val="hybridMultilevel"/>
    <w:tmpl w:val="4A04E7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0591E"/>
    <w:multiLevelType w:val="hybridMultilevel"/>
    <w:tmpl w:val="2F58BF58"/>
    <w:lvl w:ilvl="0" w:tplc="5DFCE4FE">
      <w:start w:val="1"/>
      <w:numFmt w:val="decimal"/>
      <w:lvlText w:val="%1."/>
      <w:lvlJc w:val="left"/>
      <w:pPr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0DF0CEE"/>
    <w:multiLevelType w:val="hybridMultilevel"/>
    <w:tmpl w:val="522E2B6A"/>
    <w:lvl w:ilvl="0" w:tplc="A52AA6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1873345"/>
    <w:multiLevelType w:val="hybridMultilevel"/>
    <w:tmpl w:val="57D051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E0731"/>
    <w:multiLevelType w:val="hybridMultilevel"/>
    <w:tmpl w:val="493621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974E6"/>
    <w:multiLevelType w:val="hybridMultilevel"/>
    <w:tmpl w:val="2F58BF58"/>
    <w:lvl w:ilvl="0" w:tplc="5DFCE4FE">
      <w:start w:val="1"/>
      <w:numFmt w:val="decimal"/>
      <w:lvlText w:val="%1."/>
      <w:lvlJc w:val="left"/>
      <w:pPr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A0C0BE2"/>
    <w:multiLevelType w:val="hybridMultilevel"/>
    <w:tmpl w:val="232EF72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F9D3B77"/>
    <w:multiLevelType w:val="hybridMultilevel"/>
    <w:tmpl w:val="80EAF2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81E0E"/>
    <w:multiLevelType w:val="hybridMultilevel"/>
    <w:tmpl w:val="5C464F3E"/>
    <w:lvl w:ilvl="0" w:tplc="B0B461D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C1C1C"/>
    <w:multiLevelType w:val="hybridMultilevel"/>
    <w:tmpl w:val="0480E9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C0023"/>
    <w:multiLevelType w:val="hybridMultilevel"/>
    <w:tmpl w:val="C23AB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D05A2"/>
    <w:multiLevelType w:val="hybridMultilevel"/>
    <w:tmpl w:val="7A42BA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FF2A0D"/>
    <w:multiLevelType w:val="hybridMultilevel"/>
    <w:tmpl w:val="0060C47C"/>
    <w:lvl w:ilvl="0" w:tplc="B0B461D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B5C82"/>
    <w:multiLevelType w:val="hybridMultilevel"/>
    <w:tmpl w:val="53F0A4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006731"/>
    <w:multiLevelType w:val="hybridMultilevel"/>
    <w:tmpl w:val="353CB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C66ADC"/>
    <w:multiLevelType w:val="hybridMultilevel"/>
    <w:tmpl w:val="A6D00B06"/>
    <w:lvl w:ilvl="0" w:tplc="6DCCB24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EA1667"/>
    <w:multiLevelType w:val="hybridMultilevel"/>
    <w:tmpl w:val="3FF881FE"/>
    <w:lvl w:ilvl="0" w:tplc="6DCCB24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5F1E68"/>
    <w:multiLevelType w:val="hybridMultilevel"/>
    <w:tmpl w:val="F126D2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329A9D9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9806E0"/>
    <w:multiLevelType w:val="hybridMultilevel"/>
    <w:tmpl w:val="CA500B1E"/>
    <w:lvl w:ilvl="0" w:tplc="6DCCB24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461D01"/>
    <w:multiLevelType w:val="hybridMultilevel"/>
    <w:tmpl w:val="CB3662F0"/>
    <w:lvl w:ilvl="0" w:tplc="3DDA23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D83BBE"/>
    <w:multiLevelType w:val="multilevel"/>
    <w:tmpl w:val="35F2D8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DFC0A5D"/>
    <w:multiLevelType w:val="hybridMultilevel"/>
    <w:tmpl w:val="0E981F36"/>
    <w:lvl w:ilvl="0" w:tplc="021071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F4A0809"/>
    <w:multiLevelType w:val="hybridMultilevel"/>
    <w:tmpl w:val="2F58BF58"/>
    <w:lvl w:ilvl="0" w:tplc="5DFCE4FE">
      <w:start w:val="1"/>
      <w:numFmt w:val="decimal"/>
      <w:lvlText w:val="%1."/>
      <w:lvlJc w:val="left"/>
      <w:pPr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20"/>
  </w:num>
  <w:num w:numId="3">
    <w:abstractNumId w:val="11"/>
  </w:num>
  <w:num w:numId="4">
    <w:abstractNumId w:val="19"/>
  </w:num>
  <w:num w:numId="5">
    <w:abstractNumId w:val="22"/>
  </w:num>
  <w:num w:numId="6">
    <w:abstractNumId w:val="2"/>
  </w:num>
  <w:num w:numId="7">
    <w:abstractNumId w:val="13"/>
  </w:num>
  <w:num w:numId="8">
    <w:abstractNumId w:val="23"/>
  </w:num>
  <w:num w:numId="9">
    <w:abstractNumId w:val="8"/>
  </w:num>
  <w:num w:numId="10">
    <w:abstractNumId w:val="25"/>
  </w:num>
  <w:num w:numId="11">
    <w:abstractNumId w:val="1"/>
  </w:num>
  <w:num w:numId="12">
    <w:abstractNumId w:val="6"/>
  </w:num>
  <w:num w:numId="13">
    <w:abstractNumId w:val="24"/>
  </w:num>
  <w:num w:numId="14">
    <w:abstractNumId w:val="14"/>
  </w:num>
  <w:num w:numId="15">
    <w:abstractNumId w:val="18"/>
  </w:num>
  <w:num w:numId="16">
    <w:abstractNumId w:val="5"/>
  </w:num>
  <w:num w:numId="17">
    <w:abstractNumId w:val="5"/>
    <w:lvlOverride w:ilvl="0">
      <w:lvl w:ilvl="0" w:tplc="5DFCE4FE">
        <w:start w:val="1"/>
        <w:numFmt w:val="decimal"/>
        <w:lvlText w:val="%1."/>
        <w:lvlJc w:val="left"/>
        <w:pPr>
          <w:ind w:left="0" w:firstLine="1069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9"/>
  </w:num>
  <w:num w:numId="19">
    <w:abstractNumId w:val="26"/>
  </w:num>
  <w:num w:numId="20">
    <w:abstractNumId w:val="7"/>
  </w:num>
  <w:num w:numId="21">
    <w:abstractNumId w:val="4"/>
  </w:num>
  <w:num w:numId="22">
    <w:abstractNumId w:val="3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6"/>
  </w:num>
  <w:num w:numId="26">
    <w:abstractNumId w:val="0"/>
  </w:num>
  <w:num w:numId="27">
    <w:abstractNumId w:val="21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F5"/>
    <w:rsid w:val="001027E0"/>
    <w:rsid w:val="00184C73"/>
    <w:rsid w:val="00451AE4"/>
    <w:rsid w:val="00501ABD"/>
    <w:rsid w:val="00524A90"/>
    <w:rsid w:val="006D453F"/>
    <w:rsid w:val="006E29D3"/>
    <w:rsid w:val="00781B62"/>
    <w:rsid w:val="00846301"/>
    <w:rsid w:val="008A3951"/>
    <w:rsid w:val="008C7424"/>
    <w:rsid w:val="008D63E4"/>
    <w:rsid w:val="00963AB6"/>
    <w:rsid w:val="009F5027"/>
    <w:rsid w:val="00A207EF"/>
    <w:rsid w:val="00B21084"/>
    <w:rsid w:val="00CD1E68"/>
    <w:rsid w:val="00E41E42"/>
    <w:rsid w:val="00ED5EF5"/>
    <w:rsid w:val="00F74DC9"/>
    <w:rsid w:val="00F7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3E55B"/>
  <w15:chartTrackingRefBased/>
  <w15:docId w15:val="{30386FEB-EEA9-4A60-8078-566DA2ED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1A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27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F50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F50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a4">
    <w:name w:val="Нижній колонтитул Знак"/>
    <w:basedOn w:val="a0"/>
    <w:link w:val="a3"/>
    <w:rsid w:val="009F5027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9F5027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lang w:val="tr-TR"/>
    </w:rPr>
  </w:style>
  <w:style w:type="character" w:styleId="a6">
    <w:name w:val="Hyperlink"/>
    <w:basedOn w:val="a0"/>
    <w:uiPriority w:val="99"/>
    <w:unhideWhenUsed/>
    <w:rsid w:val="009F5027"/>
    <w:rPr>
      <w:color w:val="0563C1" w:themeColor="hyperlink"/>
      <w:u w:val="single"/>
    </w:rPr>
  </w:style>
  <w:style w:type="paragraph" w:styleId="2">
    <w:name w:val="Body Text 2"/>
    <w:basedOn w:val="a"/>
    <w:link w:val="20"/>
    <w:unhideWhenUsed/>
    <w:rsid w:val="009F502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9F502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ody Text"/>
    <w:basedOn w:val="a"/>
    <w:link w:val="a8"/>
    <w:uiPriority w:val="99"/>
    <w:unhideWhenUsed/>
    <w:rsid w:val="009F5027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a8">
    <w:name w:val="Основний текст Знак"/>
    <w:basedOn w:val="a0"/>
    <w:link w:val="a7"/>
    <w:uiPriority w:val="99"/>
    <w:rsid w:val="009F5027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9">
    <w:name w:val="footnote text"/>
    <w:basedOn w:val="a"/>
    <w:link w:val="aa"/>
    <w:rsid w:val="009F5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виноски Знак"/>
    <w:basedOn w:val="a0"/>
    <w:link w:val="a9"/>
    <w:rsid w:val="009F50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vps2">
    <w:name w:val="rvps2"/>
    <w:basedOn w:val="a"/>
    <w:rsid w:val="009F5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efault">
    <w:name w:val="Default"/>
    <w:rsid w:val="009F50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12">
    <w:name w:val="A12"/>
    <w:uiPriority w:val="99"/>
    <w:rsid w:val="009F5027"/>
    <w:rPr>
      <w:rFonts w:cs="KabarettD"/>
      <w:color w:val="000000"/>
      <w:sz w:val="17"/>
      <w:szCs w:val="17"/>
    </w:rPr>
  </w:style>
  <w:style w:type="paragraph" w:styleId="ab">
    <w:name w:val="Normal (Web)"/>
    <w:basedOn w:val="a"/>
    <w:uiPriority w:val="99"/>
    <w:unhideWhenUsed/>
    <w:rsid w:val="009F5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9F502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contentline-420">
    <w:name w:val="contentline-420"/>
    <w:basedOn w:val="a0"/>
    <w:rsid w:val="009F5027"/>
  </w:style>
  <w:style w:type="paragraph" w:styleId="ac">
    <w:name w:val="Body Text Indent"/>
    <w:basedOn w:val="a"/>
    <w:link w:val="ad"/>
    <w:uiPriority w:val="99"/>
    <w:unhideWhenUsed/>
    <w:rsid w:val="00B21084"/>
    <w:pPr>
      <w:spacing w:after="120"/>
      <w:ind w:left="283"/>
    </w:pPr>
  </w:style>
  <w:style w:type="character" w:customStyle="1" w:styleId="ad">
    <w:name w:val="Основний текст з відступом Знак"/>
    <w:basedOn w:val="a0"/>
    <w:link w:val="ac"/>
    <w:uiPriority w:val="99"/>
    <w:rsid w:val="00B21084"/>
  </w:style>
  <w:style w:type="character" w:customStyle="1" w:styleId="21">
    <w:name w:val="Основной текст (2)_"/>
    <w:basedOn w:val="a0"/>
    <w:link w:val="22"/>
    <w:rsid w:val="00501AB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01ABD"/>
    <w:pPr>
      <w:widowControl w:val="0"/>
      <w:shd w:val="clear" w:color="auto" w:fill="FFFFFF"/>
      <w:spacing w:after="0" w:line="240" w:lineRule="exact"/>
      <w:ind w:hanging="14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0">
    <w:name w:val="Основной текст с отступом 21"/>
    <w:basedOn w:val="a"/>
    <w:rsid w:val="00184C73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27E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FontStyle33">
    <w:name w:val="Font Style33"/>
    <w:rsid w:val="001027E0"/>
    <w:rPr>
      <w:rFonts w:ascii="Comic Sans MS" w:hAnsi="Comic Sans MS" w:cs="Comic Sans MS"/>
      <w:spacing w:val="-10"/>
      <w:sz w:val="18"/>
      <w:szCs w:val="18"/>
    </w:rPr>
  </w:style>
  <w:style w:type="paragraph" w:customStyle="1" w:styleId="11">
    <w:name w:val="Обычный1"/>
    <w:rsid w:val="001027E0"/>
    <w:pPr>
      <w:widowControl w:val="0"/>
      <w:suppressAutoHyphens/>
      <w:spacing w:after="0"/>
      <w:ind w:firstLine="260"/>
    </w:pPr>
    <w:rPr>
      <w:rFonts w:ascii="Times New Roman" w:eastAsia="Arial" w:hAnsi="Times New Roman" w:cs="Times New Roman"/>
      <w:sz w:val="18"/>
      <w:szCs w:val="20"/>
      <w:lang w:eastAsia="ru-RU"/>
    </w:rPr>
  </w:style>
  <w:style w:type="character" w:customStyle="1" w:styleId="apple-converted-space">
    <w:name w:val="apple-converted-space"/>
    <w:basedOn w:val="a0"/>
    <w:rsid w:val="008A3951"/>
  </w:style>
  <w:style w:type="character" w:customStyle="1" w:styleId="textexposedshow">
    <w:name w:val="text_exposed_show"/>
    <w:basedOn w:val="a0"/>
    <w:rsid w:val="008A3951"/>
  </w:style>
  <w:style w:type="character" w:customStyle="1" w:styleId="10">
    <w:name w:val="Заголовок 1 Знак"/>
    <w:basedOn w:val="a0"/>
    <w:link w:val="1"/>
    <w:uiPriority w:val="9"/>
    <w:rsid w:val="00451A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e">
    <w:name w:val="Основний текст_"/>
    <w:basedOn w:val="a0"/>
    <w:link w:val="12"/>
    <w:locked/>
    <w:rsid w:val="00524A90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12">
    <w:name w:val="Основний текст1"/>
    <w:basedOn w:val="a"/>
    <w:link w:val="ae"/>
    <w:rsid w:val="00524A90"/>
    <w:pPr>
      <w:shd w:val="clear" w:color="auto" w:fill="FFFFFF"/>
      <w:spacing w:after="120" w:line="230" w:lineRule="exact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Style61">
    <w:name w:val="Style61"/>
    <w:basedOn w:val="a"/>
    <w:uiPriority w:val="99"/>
    <w:rsid w:val="00524A90"/>
    <w:pPr>
      <w:widowControl w:val="0"/>
      <w:autoSpaceDE w:val="0"/>
      <w:autoSpaceDN w:val="0"/>
      <w:adjustRightInd w:val="0"/>
      <w:spacing w:after="0" w:line="245" w:lineRule="exact"/>
      <w:ind w:firstLine="288"/>
      <w:jc w:val="both"/>
    </w:pPr>
    <w:rPr>
      <w:rFonts w:ascii="Cambria" w:eastAsiaTheme="minorEastAsia" w:hAnsi="Cambria"/>
      <w:sz w:val="24"/>
      <w:szCs w:val="24"/>
      <w:lang w:val="ru-RU" w:eastAsia="ru-RU"/>
    </w:rPr>
  </w:style>
  <w:style w:type="paragraph" w:customStyle="1" w:styleId="Text1">
    <w:name w:val="Text1"/>
    <w:basedOn w:val="a"/>
    <w:rsid w:val="00A207EF"/>
    <w:pPr>
      <w:spacing w:after="6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6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urkniga.ua/autor/stolitnii-a-v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jurkniga.ua/autor/nestor-n-v/" TargetMode="External"/><Relationship Id="rId12" Type="http://schemas.openxmlformats.org/officeDocument/2006/relationships/hyperlink" Target="https://supreme.court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urkniga.ua/autor/turkot-m-s/" TargetMode="External"/><Relationship Id="rId11" Type="http://schemas.openxmlformats.org/officeDocument/2006/relationships/hyperlink" Target="http://plaw.nlu.edu.ua/issue/view/7548" TargetMode="External"/><Relationship Id="rId5" Type="http://schemas.openxmlformats.org/officeDocument/2006/relationships/hyperlink" Target="https://jurkniga.ua/autor/nestor-n-v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24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A%D0%B0%D0%BB%D1%83%D0%B6%D0%BD%D0%B0%20%D0%9E$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11</Pages>
  <Words>18035</Words>
  <Characters>10280</Characters>
  <Application>Microsoft Office Word</Application>
  <DocSecurity>0</DocSecurity>
  <Lines>85</Lines>
  <Paragraphs>56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Kalushna</dc:creator>
  <cp:keywords/>
  <dc:description/>
  <cp:lastModifiedBy>Oksana Kalushna</cp:lastModifiedBy>
  <cp:revision>10</cp:revision>
  <dcterms:created xsi:type="dcterms:W3CDTF">2021-03-30T21:23:00Z</dcterms:created>
  <dcterms:modified xsi:type="dcterms:W3CDTF">2021-03-31T10:26:00Z</dcterms:modified>
</cp:coreProperties>
</file>