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8DD7D" w14:textId="77777777" w:rsidR="009E5073" w:rsidRPr="004A6CE0" w:rsidRDefault="009E5073" w:rsidP="001A6AD0">
      <w:pPr>
        <w:jc w:val="both"/>
        <w:rPr>
          <w:b/>
          <w:lang w:val="uk-UA"/>
        </w:rPr>
      </w:pPr>
    </w:p>
    <w:p w14:paraId="175A8752" w14:textId="442D8C64" w:rsidR="004A6CE0" w:rsidRPr="004A6CE0" w:rsidRDefault="009E5073" w:rsidP="00D8351C">
      <w:pPr>
        <w:jc w:val="center"/>
        <w:rPr>
          <w:b/>
          <w:lang w:val="uk-UA"/>
        </w:rPr>
      </w:pPr>
      <w:proofErr w:type="spellStart"/>
      <w:r w:rsidRPr="004A6CE0">
        <w:rPr>
          <w:b/>
          <w:lang w:val="uk-UA"/>
        </w:rPr>
        <w:t>Силабус</w:t>
      </w:r>
      <w:proofErr w:type="spellEnd"/>
    </w:p>
    <w:p w14:paraId="28DD7333" w14:textId="17C44EF9" w:rsidR="004A6CE0" w:rsidRPr="004A6CE0" w:rsidRDefault="004A6CE0" w:rsidP="00D8351C">
      <w:pPr>
        <w:jc w:val="center"/>
        <w:rPr>
          <w:b/>
          <w:lang w:val="uk-UA"/>
        </w:rPr>
      </w:pPr>
      <w:r w:rsidRPr="004A6CE0">
        <w:rPr>
          <w:b/>
          <w:lang w:val="uk-UA"/>
        </w:rPr>
        <w:t>спецкурсу</w:t>
      </w:r>
      <w:r w:rsidR="009E5073" w:rsidRPr="004A6CE0">
        <w:rPr>
          <w:b/>
          <w:lang w:val="uk-UA"/>
        </w:rPr>
        <w:t xml:space="preserve"> </w:t>
      </w:r>
      <w:r w:rsidRPr="004A6CE0">
        <w:rPr>
          <w:b/>
          <w:lang w:val="uk-UA"/>
        </w:rPr>
        <w:t>“Судова практика захисту пенсійних прав громадян”.</w:t>
      </w:r>
    </w:p>
    <w:p w14:paraId="241A0CDB" w14:textId="2161C5A2" w:rsidR="009E5073" w:rsidRPr="004A6CE0" w:rsidRDefault="009E5073" w:rsidP="00D8351C">
      <w:pPr>
        <w:jc w:val="center"/>
        <w:rPr>
          <w:b/>
          <w:lang w:val="uk-UA"/>
        </w:rPr>
      </w:pPr>
      <w:r w:rsidRPr="004A6CE0">
        <w:rPr>
          <w:b/>
          <w:lang w:val="uk-UA"/>
        </w:rPr>
        <w:t>навчального року</w:t>
      </w:r>
    </w:p>
    <w:p w14:paraId="166BEB61" w14:textId="77777777" w:rsidR="009E5073" w:rsidRPr="004A6CE0" w:rsidRDefault="009E5073" w:rsidP="001A6AD0">
      <w:pPr>
        <w:jc w:val="both"/>
        <w:rPr>
          <w:b/>
          <w:lang w:val="uk-UA"/>
        </w:rPr>
      </w:pPr>
    </w:p>
    <w:p w14:paraId="45319618" w14:textId="77777777" w:rsidR="009E5073" w:rsidRPr="004A6CE0" w:rsidRDefault="009E5073" w:rsidP="001A6AD0">
      <w:pPr>
        <w:jc w:val="both"/>
        <w:rPr>
          <w:lang w:val="uk-UA"/>
        </w:rPr>
      </w:pPr>
    </w:p>
    <w:tbl>
      <w:tblPr>
        <w:tblW w:w="10368" w:type="dxa"/>
        <w:tblLook w:val="0000" w:firstRow="0" w:lastRow="0" w:firstColumn="0" w:lastColumn="0" w:noHBand="0" w:noVBand="0"/>
      </w:tblPr>
      <w:tblGrid>
        <w:gridCol w:w="2744"/>
        <w:gridCol w:w="7624"/>
      </w:tblGrid>
      <w:tr w:rsidR="009E5073" w:rsidRPr="004A6CE0" w14:paraId="6645BEF7"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1A57F6DB" w14:textId="77777777" w:rsidR="009E5073" w:rsidRPr="004A6CE0" w:rsidRDefault="009E5073" w:rsidP="001A6AD0">
            <w:pPr>
              <w:jc w:val="both"/>
              <w:rPr>
                <w:b/>
                <w:lang w:val="uk-UA"/>
              </w:rPr>
            </w:pPr>
            <w:r w:rsidRPr="004A6CE0">
              <w:rPr>
                <w:b/>
                <w:lang w:val="uk-UA"/>
              </w:rPr>
              <w:t>Назва курсу</w:t>
            </w:r>
          </w:p>
        </w:tc>
        <w:tc>
          <w:tcPr>
            <w:tcW w:w="7624" w:type="dxa"/>
            <w:tcBorders>
              <w:top w:val="single" w:sz="4" w:space="0" w:color="000000"/>
              <w:left w:val="single" w:sz="4" w:space="0" w:color="000000"/>
              <w:bottom w:val="single" w:sz="4" w:space="0" w:color="000000"/>
              <w:right w:val="single" w:sz="4" w:space="0" w:color="000000"/>
            </w:tcBorders>
          </w:tcPr>
          <w:p w14:paraId="79892B7D" w14:textId="77777777" w:rsidR="004A6CE0" w:rsidRPr="004A6CE0" w:rsidRDefault="009E5073" w:rsidP="001A6AD0">
            <w:pPr>
              <w:jc w:val="both"/>
              <w:rPr>
                <w:b/>
                <w:lang w:val="uk-UA"/>
              </w:rPr>
            </w:pPr>
            <w:r w:rsidRPr="004A6CE0">
              <w:rPr>
                <w:lang w:val="uk-UA"/>
              </w:rPr>
              <w:t xml:space="preserve"> </w:t>
            </w:r>
            <w:r w:rsidR="004A6CE0" w:rsidRPr="004A6CE0">
              <w:rPr>
                <w:b/>
                <w:lang w:val="uk-UA"/>
              </w:rPr>
              <w:t>Судова практика захисту пенсійних прав громадян.</w:t>
            </w:r>
          </w:p>
          <w:p w14:paraId="3BA5E4C2" w14:textId="77777777" w:rsidR="009E5073" w:rsidRPr="004A6CE0" w:rsidRDefault="009E5073" w:rsidP="001A6AD0">
            <w:pPr>
              <w:jc w:val="both"/>
              <w:rPr>
                <w:lang w:val="uk-UA"/>
              </w:rPr>
            </w:pPr>
          </w:p>
        </w:tc>
      </w:tr>
      <w:tr w:rsidR="009E5073" w:rsidRPr="004A6CE0" w14:paraId="672EA188"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1CBBF76E" w14:textId="77777777" w:rsidR="009E5073" w:rsidRPr="004A6CE0" w:rsidRDefault="009E5073" w:rsidP="001A6AD0">
            <w:pPr>
              <w:jc w:val="both"/>
              <w:rPr>
                <w:b/>
                <w:lang w:val="uk-UA"/>
              </w:rPr>
            </w:pPr>
            <w:r w:rsidRPr="004A6CE0">
              <w:rPr>
                <w:b/>
                <w:lang w:val="uk-UA"/>
              </w:rPr>
              <w:t>Адреса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14:paraId="720FE770" w14:textId="0C4A6007" w:rsidR="009E5073" w:rsidRPr="004A6CE0" w:rsidRDefault="004A6CE0" w:rsidP="001A6AD0">
            <w:pPr>
              <w:jc w:val="both"/>
              <w:rPr>
                <w:lang w:val="uk-UA"/>
              </w:rPr>
            </w:pPr>
            <w:r w:rsidRPr="00096173">
              <w:rPr>
                <w:lang w:val="uk-UA"/>
              </w:rPr>
              <w:t>79000, Львів, вул. Січових стрільців,14</w:t>
            </w:r>
          </w:p>
        </w:tc>
      </w:tr>
      <w:tr w:rsidR="009E5073" w:rsidRPr="004A6CE0" w14:paraId="0010F12A"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02F7C357" w14:textId="77777777" w:rsidR="009E5073" w:rsidRPr="004A6CE0" w:rsidRDefault="009E5073" w:rsidP="001A6AD0">
            <w:pPr>
              <w:jc w:val="both"/>
              <w:rPr>
                <w:b/>
                <w:lang w:val="uk-UA"/>
              </w:rPr>
            </w:pPr>
            <w:r w:rsidRPr="004A6CE0">
              <w:rPr>
                <w:b/>
                <w:lang w:val="uk-UA"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tcPr>
          <w:p w14:paraId="02782214" w14:textId="77777777" w:rsidR="004A6CE0" w:rsidRPr="00096173" w:rsidRDefault="004A6CE0" w:rsidP="001A6AD0">
            <w:pPr>
              <w:jc w:val="both"/>
              <w:rPr>
                <w:lang w:val="uk-UA"/>
              </w:rPr>
            </w:pPr>
            <w:r w:rsidRPr="00096173">
              <w:rPr>
                <w:lang w:val="uk-UA"/>
              </w:rPr>
              <w:t>Юридичний факультет</w:t>
            </w:r>
          </w:p>
          <w:p w14:paraId="55C0010D" w14:textId="77777777" w:rsidR="004A6CE0" w:rsidRPr="00096173" w:rsidRDefault="004A6CE0" w:rsidP="001A6AD0">
            <w:pPr>
              <w:jc w:val="both"/>
              <w:rPr>
                <w:lang w:val="uk-UA"/>
              </w:rPr>
            </w:pPr>
            <w:r w:rsidRPr="00096173">
              <w:rPr>
                <w:lang w:val="uk-UA"/>
              </w:rPr>
              <w:t>Кафедра соціального права</w:t>
            </w:r>
          </w:p>
          <w:p w14:paraId="760D876A" w14:textId="77777777" w:rsidR="009E5073" w:rsidRPr="004A6CE0" w:rsidRDefault="009E5073" w:rsidP="001A6AD0">
            <w:pPr>
              <w:shd w:val="clear" w:color="auto" w:fill="FFFFFF"/>
              <w:jc w:val="both"/>
              <w:textAlignment w:val="baseline"/>
              <w:rPr>
                <w:lang w:val="uk-UA"/>
              </w:rPr>
            </w:pPr>
          </w:p>
        </w:tc>
      </w:tr>
      <w:tr w:rsidR="009E5073" w:rsidRPr="004A6CE0" w14:paraId="5B61838D"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250081D8" w14:textId="77777777" w:rsidR="009E5073" w:rsidRPr="004A6CE0" w:rsidRDefault="009E5073" w:rsidP="001A6AD0">
            <w:pPr>
              <w:jc w:val="both"/>
              <w:rPr>
                <w:b/>
                <w:lang w:val="uk-UA"/>
              </w:rPr>
            </w:pPr>
            <w:r w:rsidRPr="004A6CE0">
              <w:rPr>
                <w:b/>
                <w:lang w:val="uk-UA"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14:paraId="1F820E0B" w14:textId="77E0641C" w:rsidR="009E5073" w:rsidRPr="004A6CE0" w:rsidRDefault="004A6CE0" w:rsidP="001A6AD0">
            <w:pPr>
              <w:jc w:val="both"/>
              <w:rPr>
                <w:lang w:val="uk-UA"/>
              </w:rPr>
            </w:pPr>
            <w:r w:rsidRPr="00096173">
              <w:rPr>
                <w:lang w:val="uk-UA"/>
              </w:rPr>
              <w:t>081, право</w:t>
            </w:r>
          </w:p>
        </w:tc>
      </w:tr>
      <w:tr w:rsidR="009E5073" w:rsidRPr="004A6CE0" w14:paraId="3EC9E74E"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4700A3F8" w14:textId="77777777" w:rsidR="009E5073" w:rsidRPr="004A6CE0" w:rsidRDefault="009E5073" w:rsidP="001A6AD0">
            <w:pPr>
              <w:jc w:val="both"/>
              <w:rPr>
                <w:b/>
                <w:lang w:val="uk-UA" w:eastAsia="uk-UA"/>
              </w:rPr>
            </w:pPr>
            <w:r w:rsidRPr="004A6CE0">
              <w:rPr>
                <w:b/>
                <w:lang w:val="uk-UA"/>
              </w:rPr>
              <w:t>Викладачі курсу</w:t>
            </w:r>
          </w:p>
        </w:tc>
        <w:tc>
          <w:tcPr>
            <w:tcW w:w="7624" w:type="dxa"/>
            <w:tcBorders>
              <w:top w:val="single" w:sz="4" w:space="0" w:color="000000"/>
              <w:left w:val="single" w:sz="4" w:space="0" w:color="000000"/>
              <w:bottom w:val="single" w:sz="4" w:space="0" w:color="000000"/>
              <w:right w:val="single" w:sz="4" w:space="0" w:color="000000"/>
            </w:tcBorders>
          </w:tcPr>
          <w:p w14:paraId="55C7B470" w14:textId="77777777" w:rsidR="004A6CE0" w:rsidRDefault="004A6CE0" w:rsidP="001A6AD0">
            <w:pPr>
              <w:jc w:val="both"/>
              <w:rPr>
                <w:lang w:val="uk-UA"/>
              </w:rPr>
            </w:pPr>
            <w:r w:rsidRPr="004A6CE0">
              <w:rPr>
                <w:lang w:val="uk-UA"/>
              </w:rPr>
              <w:t xml:space="preserve">Синчук Світлана Миколаївна, </w:t>
            </w:r>
            <w:proofErr w:type="spellStart"/>
            <w:r w:rsidRPr="004A6CE0">
              <w:rPr>
                <w:lang w:val="uk-UA"/>
              </w:rPr>
              <w:t>д.ю.н</w:t>
            </w:r>
            <w:proofErr w:type="spellEnd"/>
            <w:r w:rsidRPr="004A6CE0">
              <w:rPr>
                <w:lang w:val="uk-UA"/>
              </w:rPr>
              <w:t xml:space="preserve">., </w:t>
            </w:r>
            <w:r>
              <w:rPr>
                <w:lang w:val="uk-UA"/>
              </w:rPr>
              <w:t xml:space="preserve">доцент, </w:t>
            </w:r>
          </w:p>
          <w:p w14:paraId="7E9F4292" w14:textId="69621CA1" w:rsidR="009E5073" w:rsidRPr="004A6CE0" w:rsidRDefault="004A6CE0" w:rsidP="001A6AD0">
            <w:pPr>
              <w:jc w:val="both"/>
              <w:rPr>
                <w:lang w:val="uk-UA"/>
              </w:rPr>
            </w:pPr>
            <w:r w:rsidRPr="004A6CE0">
              <w:rPr>
                <w:lang w:val="uk-UA"/>
              </w:rPr>
              <w:t xml:space="preserve">професор </w:t>
            </w:r>
            <w:r>
              <w:rPr>
                <w:lang w:val="uk-UA"/>
              </w:rPr>
              <w:t>кафедри соціального права</w:t>
            </w:r>
          </w:p>
        </w:tc>
      </w:tr>
      <w:tr w:rsidR="009E5073" w:rsidRPr="00D8351C" w14:paraId="727F6474"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62BB765F" w14:textId="77777777" w:rsidR="009E5073" w:rsidRPr="004A6CE0" w:rsidRDefault="009E5073" w:rsidP="001A6AD0">
            <w:pPr>
              <w:jc w:val="both"/>
              <w:rPr>
                <w:b/>
                <w:lang w:val="uk-UA" w:eastAsia="uk-UA"/>
              </w:rPr>
            </w:pPr>
            <w:r w:rsidRPr="004A6CE0">
              <w:rPr>
                <w:b/>
                <w:lang w:val="uk-UA"/>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tcPr>
          <w:p w14:paraId="264E7124" w14:textId="2A57324B" w:rsidR="006579B3" w:rsidRPr="003A7550" w:rsidRDefault="00895EFD" w:rsidP="001A6AD0">
            <w:pPr>
              <w:jc w:val="both"/>
              <w:rPr>
                <w:color w:val="000000" w:themeColor="text1"/>
                <w:lang w:val="uk-UA"/>
              </w:rPr>
            </w:pPr>
            <w:hyperlink r:id="rId6" w:history="1">
              <w:r w:rsidR="006579B3" w:rsidRPr="006579B3">
                <w:rPr>
                  <w:rFonts w:ascii="Verdana" w:hAnsi="Verdana"/>
                  <w:color w:val="000000" w:themeColor="text1"/>
                  <w:sz w:val="18"/>
                  <w:szCs w:val="18"/>
                  <w:bdr w:val="none" w:sz="0" w:space="0" w:color="auto" w:frame="1"/>
                  <w:shd w:val="clear" w:color="auto" w:fill="FAFAFA"/>
                </w:rPr>
                <w:t>svitlana</w:t>
              </w:r>
              <w:r w:rsidR="006579B3" w:rsidRPr="003A7550">
                <w:rPr>
                  <w:rFonts w:ascii="Verdana" w:hAnsi="Verdana"/>
                  <w:color w:val="000000" w:themeColor="text1"/>
                  <w:sz w:val="18"/>
                  <w:szCs w:val="18"/>
                  <w:bdr w:val="none" w:sz="0" w:space="0" w:color="auto" w:frame="1"/>
                  <w:shd w:val="clear" w:color="auto" w:fill="FAFAFA"/>
                  <w:lang w:val="uk-UA"/>
                </w:rPr>
                <w:t>.</w:t>
              </w:r>
              <w:r w:rsidR="006579B3" w:rsidRPr="006579B3">
                <w:rPr>
                  <w:rFonts w:ascii="Verdana" w:hAnsi="Verdana"/>
                  <w:color w:val="000000" w:themeColor="text1"/>
                  <w:sz w:val="18"/>
                  <w:szCs w:val="18"/>
                  <w:bdr w:val="none" w:sz="0" w:space="0" w:color="auto" w:frame="1"/>
                  <w:shd w:val="clear" w:color="auto" w:fill="FAFAFA"/>
                </w:rPr>
                <w:t>synchuk</w:t>
              </w:r>
              <w:r w:rsidR="006579B3" w:rsidRPr="003A7550">
                <w:rPr>
                  <w:rFonts w:ascii="Verdana" w:hAnsi="Verdana"/>
                  <w:color w:val="000000" w:themeColor="text1"/>
                  <w:sz w:val="18"/>
                  <w:szCs w:val="18"/>
                  <w:bdr w:val="none" w:sz="0" w:space="0" w:color="auto" w:frame="1"/>
                  <w:shd w:val="clear" w:color="auto" w:fill="FAFAFA"/>
                  <w:lang w:val="uk-UA"/>
                </w:rPr>
                <w:t>@</w:t>
              </w:r>
              <w:r w:rsidR="006579B3" w:rsidRPr="006579B3">
                <w:rPr>
                  <w:rFonts w:ascii="Verdana" w:hAnsi="Verdana"/>
                  <w:color w:val="000000" w:themeColor="text1"/>
                  <w:sz w:val="18"/>
                  <w:szCs w:val="18"/>
                  <w:bdr w:val="none" w:sz="0" w:space="0" w:color="auto" w:frame="1"/>
                  <w:shd w:val="clear" w:color="auto" w:fill="FAFAFA"/>
                </w:rPr>
                <w:t>lnu</w:t>
              </w:r>
              <w:r w:rsidR="006579B3" w:rsidRPr="003A7550">
                <w:rPr>
                  <w:rFonts w:ascii="Verdana" w:hAnsi="Verdana"/>
                  <w:color w:val="000000" w:themeColor="text1"/>
                  <w:sz w:val="18"/>
                  <w:szCs w:val="18"/>
                  <w:bdr w:val="none" w:sz="0" w:space="0" w:color="auto" w:frame="1"/>
                  <w:shd w:val="clear" w:color="auto" w:fill="FAFAFA"/>
                  <w:lang w:val="uk-UA"/>
                </w:rPr>
                <w:t>.</w:t>
              </w:r>
              <w:r w:rsidR="006579B3" w:rsidRPr="006579B3">
                <w:rPr>
                  <w:rFonts w:ascii="Verdana" w:hAnsi="Verdana"/>
                  <w:color w:val="000000" w:themeColor="text1"/>
                  <w:sz w:val="18"/>
                  <w:szCs w:val="18"/>
                  <w:bdr w:val="none" w:sz="0" w:space="0" w:color="auto" w:frame="1"/>
                  <w:shd w:val="clear" w:color="auto" w:fill="FAFAFA"/>
                </w:rPr>
                <w:t>edu</w:t>
              </w:r>
              <w:r w:rsidR="006579B3" w:rsidRPr="003A7550">
                <w:rPr>
                  <w:rFonts w:ascii="Verdana" w:hAnsi="Verdana"/>
                  <w:color w:val="000000" w:themeColor="text1"/>
                  <w:sz w:val="18"/>
                  <w:szCs w:val="18"/>
                  <w:bdr w:val="none" w:sz="0" w:space="0" w:color="auto" w:frame="1"/>
                  <w:shd w:val="clear" w:color="auto" w:fill="FAFAFA"/>
                  <w:lang w:val="uk-UA"/>
                </w:rPr>
                <w:t>.</w:t>
              </w:r>
              <w:proofErr w:type="spellStart"/>
              <w:r w:rsidR="006579B3" w:rsidRPr="006579B3">
                <w:rPr>
                  <w:rFonts w:ascii="Verdana" w:hAnsi="Verdana"/>
                  <w:color w:val="000000" w:themeColor="text1"/>
                  <w:sz w:val="18"/>
                  <w:szCs w:val="18"/>
                  <w:bdr w:val="none" w:sz="0" w:space="0" w:color="auto" w:frame="1"/>
                  <w:shd w:val="clear" w:color="auto" w:fill="FAFAFA"/>
                </w:rPr>
                <w:t>ua</w:t>
              </w:r>
              <w:proofErr w:type="spellEnd"/>
            </w:hyperlink>
          </w:p>
          <w:p w14:paraId="223B3EC6" w14:textId="77777777" w:rsidR="006579B3" w:rsidRPr="003A7550" w:rsidRDefault="006579B3" w:rsidP="001A6AD0">
            <w:pPr>
              <w:jc w:val="both"/>
              <w:rPr>
                <w:color w:val="000000" w:themeColor="text1"/>
                <w:lang w:val="uk-UA"/>
              </w:rPr>
            </w:pPr>
          </w:p>
          <w:p w14:paraId="2F13516B" w14:textId="065FBF51" w:rsidR="006579B3" w:rsidRPr="003A7550" w:rsidRDefault="00895EFD" w:rsidP="001A6AD0">
            <w:pPr>
              <w:jc w:val="both"/>
              <w:rPr>
                <w:lang w:val="uk-UA"/>
              </w:rPr>
            </w:pPr>
            <w:hyperlink r:id="rId7" w:history="1">
              <w:r w:rsidR="006579B3" w:rsidRPr="00B6660A">
                <w:rPr>
                  <w:rStyle w:val="a4"/>
                </w:rPr>
                <w:t>https</w:t>
              </w:r>
              <w:r w:rsidR="006579B3" w:rsidRPr="003A7550">
                <w:rPr>
                  <w:rStyle w:val="a4"/>
                  <w:lang w:val="uk-UA"/>
                </w:rPr>
                <w:t>://</w:t>
              </w:r>
              <w:r w:rsidR="006579B3" w:rsidRPr="00B6660A">
                <w:rPr>
                  <w:rStyle w:val="a4"/>
                </w:rPr>
                <w:t>law</w:t>
              </w:r>
              <w:r w:rsidR="006579B3" w:rsidRPr="003A7550">
                <w:rPr>
                  <w:rStyle w:val="a4"/>
                  <w:lang w:val="uk-UA"/>
                </w:rPr>
                <w:t>.</w:t>
              </w:r>
              <w:r w:rsidR="006579B3" w:rsidRPr="00B6660A">
                <w:rPr>
                  <w:rStyle w:val="a4"/>
                </w:rPr>
                <w:t>lnu</w:t>
              </w:r>
              <w:r w:rsidR="006579B3" w:rsidRPr="003A7550">
                <w:rPr>
                  <w:rStyle w:val="a4"/>
                  <w:lang w:val="uk-UA"/>
                </w:rPr>
                <w:t>.</w:t>
              </w:r>
              <w:r w:rsidR="006579B3" w:rsidRPr="00B6660A">
                <w:rPr>
                  <w:rStyle w:val="a4"/>
                </w:rPr>
                <w:t>edu</w:t>
              </w:r>
              <w:r w:rsidR="006579B3" w:rsidRPr="003A7550">
                <w:rPr>
                  <w:rStyle w:val="a4"/>
                  <w:lang w:val="uk-UA"/>
                </w:rPr>
                <w:t>.</w:t>
              </w:r>
              <w:r w:rsidR="006579B3" w:rsidRPr="00B6660A">
                <w:rPr>
                  <w:rStyle w:val="a4"/>
                </w:rPr>
                <w:t>ua</w:t>
              </w:r>
              <w:r w:rsidR="006579B3" w:rsidRPr="003A7550">
                <w:rPr>
                  <w:rStyle w:val="a4"/>
                  <w:lang w:val="uk-UA"/>
                </w:rPr>
                <w:t>/</w:t>
              </w:r>
              <w:r w:rsidR="006579B3" w:rsidRPr="00B6660A">
                <w:rPr>
                  <w:rStyle w:val="a4"/>
                </w:rPr>
                <w:t>employee</w:t>
              </w:r>
              <w:r w:rsidR="006579B3" w:rsidRPr="003A7550">
                <w:rPr>
                  <w:rStyle w:val="a4"/>
                  <w:lang w:val="uk-UA"/>
                </w:rPr>
                <w:t>/</w:t>
              </w:r>
              <w:r w:rsidR="006579B3" w:rsidRPr="00B6660A">
                <w:rPr>
                  <w:rStyle w:val="a4"/>
                </w:rPr>
                <w:t>synchuk</w:t>
              </w:r>
              <w:r w:rsidR="006579B3" w:rsidRPr="003A7550">
                <w:rPr>
                  <w:rStyle w:val="a4"/>
                  <w:lang w:val="uk-UA"/>
                </w:rPr>
                <w:t>-</w:t>
              </w:r>
              <w:r w:rsidR="006579B3" w:rsidRPr="00B6660A">
                <w:rPr>
                  <w:rStyle w:val="a4"/>
                </w:rPr>
                <w:t>svitlana</w:t>
              </w:r>
              <w:r w:rsidR="006579B3" w:rsidRPr="003A7550">
                <w:rPr>
                  <w:rStyle w:val="a4"/>
                  <w:lang w:val="uk-UA"/>
                </w:rPr>
                <w:t>-</w:t>
              </w:r>
              <w:proofErr w:type="spellStart"/>
              <w:r w:rsidR="006579B3" w:rsidRPr="00B6660A">
                <w:rPr>
                  <w:rStyle w:val="a4"/>
                </w:rPr>
                <w:t>mykolajivna</w:t>
              </w:r>
              <w:proofErr w:type="spellEnd"/>
            </w:hyperlink>
          </w:p>
          <w:p w14:paraId="4CB90EF3" w14:textId="55E3FC2F" w:rsidR="009E5073" w:rsidRPr="004A6CE0" w:rsidRDefault="009E5073" w:rsidP="001A6AD0">
            <w:pPr>
              <w:jc w:val="both"/>
              <w:rPr>
                <w:lang w:val="uk-UA"/>
              </w:rPr>
            </w:pPr>
          </w:p>
        </w:tc>
      </w:tr>
      <w:tr w:rsidR="009E5073" w:rsidRPr="004A6CE0" w14:paraId="6640CA7D"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1C3DB0BA" w14:textId="77777777" w:rsidR="009E5073" w:rsidRPr="004A6CE0" w:rsidRDefault="009E5073" w:rsidP="001A6AD0">
            <w:pPr>
              <w:jc w:val="both"/>
              <w:rPr>
                <w:b/>
                <w:lang w:val="uk-UA"/>
              </w:rPr>
            </w:pPr>
            <w:r w:rsidRPr="004A6CE0">
              <w:rPr>
                <w:b/>
                <w:lang w:val="uk-UA"/>
              </w:rPr>
              <w:t>Консультації по курсу відбуваються</w:t>
            </w:r>
          </w:p>
        </w:tc>
        <w:tc>
          <w:tcPr>
            <w:tcW w:w="7624" w:type="dxa"/>
            <w:tcBorders>
              <w:top w:val="single" w:sz="4" w:space="0" w:color="000000"/>
              <w:left w:val="single" w:sz="4" w:space="0" w:color="000000"/>
              <w:bottom w:val="single" w:sz="4" w:space="0" w:color="000000"/>
              <w:right w:val="single" w:sz="4" w:space="0" w:color="000000"/>
            </w:tcBorders>
          </w:tcPr>
          <w:p w14:paraId="50AD82C0" w14:textId="77777777" w:rsidR="00C137E0" w:rsidRDefault="009E5073" w:rsidP="001A6AD0">
            <w:pPr>
              <w:jc w:val="both"/>
              <w:rPr>
                <w:lang w:val="uk-UA"/>
              </w:rPr>
            </w:pPr>
            <w:r w:rsidRPr="004A6CE0">
              <w:rPr>
                <w:lang w:val="uk-UA"/>
              </w:rPr>
              <w:t xml:space="preserve">Консультації в день проведення лекцій/практичних занять (за попередньою домовленістю). </w:t>
            </w:r>
          </w:p>
          <w:p w14:paraId="48F47BDE" w14:textId="1F760771" w:rsidR="00C137E0" w:rsidRPr="004A6CE0" w:rsidRDefault="009E5073" w:rsidP="001A6AD0">
            <w:pPr>
              <w:jc w:val="both"/>
              <w:rPr>
                <w:lang w:val="uk-UA"/>
              </w:rPr>
            </w:pPr>
            <w:r w:rsidRPr="004A6CE0">
              <w:rPr>
                <w:lang w:val="uk-UA"/>
              </w:rPr>
              <w:t>Також можливі он-лайн консультації через Skype або подібні ресурси. Для погодження часу он-лайн консультацій слід писати на електронну пошту викладача або дзвонити.</w:t>
            </w:r>
          </w:p>
        </w:tc>
      </w:tr>
      <w:tr w:rsidR="009E5073" w:rsidRPr="00D8351C" w14:paraId="2C155EEF"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5EA50B41" w14:textId="77777777" w:rsidR="009E5073" w:rsidRPr="004A6CE0" w:rsidRDefault="009E5073" w:rsidP="001A6AD0">
            <w:pPr>
              <w:jc w:val="both"/>
              <w:rPr>
                <w:b/>
                <w:lang w:val="uk-UA"/>
              </w:rPr>
            </w:pPr>
            <w:proofErr w:type="spellStart"/>
            <w:r w:rsidRPr="004A6CE0">
              <w:rPr>
                <w:b/>
              </w:rPr>
              <w:t>Сторінка</w:t>
            </w:r>
            <w:proofErr w:type="spellEnd"/>
            <w:r w:rsidRPr="004A6CE0">
              <w:rPr>
                <w:b/>
              </w:rPr>
              <w:t xml:space="preserve"> курсу</w:t>
            </w:r>
          </w:p>
        </w:tc>
        <w:tc>
          <w:tcPr>
            <w:tcW w:w="7624" w:type="dxa"/>
            <w:tcBorders>
              <w:top w:val="single" w:sz="4" w:space="0" w:color="000000"/>
              <w:left w:val="single" w:sz="4" w:space="0" w:color="000000"/>
              <w:bottom w:val="single" w:sz="4" w:space="0" w:color="000000"/>
              <w:right w:val="single" w:sz="4" w:space="0" w:color="000000"/>
            </w:tcBorders>
          </w:tcPr>
          <w:p w14:paraId="71BA582D" w14:textId="2AE2581F" w:rsidR="009E5073" w:rsidRDefault="00895EFD" w:rsidP="001A6AD0">
            <w:pPr>
              <w:jc w:val="both"/>
              <w:rPr>
                <w:lang w:val="uk-UA"/>
              </w:rPr>
            </w:pPr>
            <w:hyperlink r:id="rId8" w:history="1">
              <w:r w:rsidR="001E591D" w:rsidRPr="00B6660A">
                <w:rPr>
                  <w:rStyle w:val="a4"/>
                  <w:lang w:val="uk-UA"/>
                </w:rPr>
                <w:t>https://law.lnu.edu.ua/course/sudova-praktyka-ukrajiny-schodo-zahystu-pensijnyh-prav-hromadyan</w:t>
              </w:r>
            </w:hyperlink>
          </w:p>
          <w:p w14:paraId="7CADA163" w14:textId="6564A730" w:rsidR="001E591D" w:rsidRPr="004A6CE0" w:rsidRDefault="001E591D" w:rsidP="001A6AD0">
            <w:pPr>
              <w:jc w:val="both"/>
              <w:rPr>
                <w:lang w:val="uk-UA"/>
              </w:rPr>
            </w:pPr>
          </w:p>
        </w:tc>
      </w:tr>
      <w:tr w:rsidR="009E5073" w:rsidRPr="004A6CE0" w14:paraId="71CFA346"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4AE7B5FD" w14:textId="77777777" w:rsidR="009E5073" w:rsidRPr="004A6CE0" w:rsidRDefault="009E5073" w:rsidP="001A6AD0">
            <w:pPr>
              <w:jc w:val="both"/>
              <w:rPr>
                <w:b/>
                <w:lang w:val="uk-UA"/>
              </w:rPr>
            </w:pPr>
            <w:r w:rsidRPr="004A6CE0">
              <w:rPr>
                <w:b/>
                <w:lang w:val="uk-UA"/>
              </w:rPr>
              <w:t>Інформація про курс</w:t>
            </w:r>
          </w:p>
        </w:tc>
        <w:tc>
          <w:tcPr>
            <w:tcW w:w="7624" w:type="dxa"/>
            <w:tcBorders>
              <w:top w:val="single" w:sz="4" w:space="0" w:color="000000"/>
              <w:left w:val="single" w:sz="4" w:space="0" w:color="000000"/>
              <w:bottom w:val="single" w:sz="4" w:space="0" w:color="000000"/>
              <w:right w:val="single" w:sz="4" w:space="0" w:color="000000"/>
            </w:tcBorders>
          </w:tcPr>
          <w:p w14:paraId="363D8978" w14:textId="6D48F38E" w:rsidR="009E5073" w:rsidRPr="004A6CE0" w:rsidRDefault="009E5073" w:rsidP="001A6AD0">
            <w:pPr>
              <w:jc w:val="both"/>
              <w:rPr>
                <w:lang w:val="uk-UA"/>
              </w:rPr>
            </w:pPr>
            <w:r w:rsidRPr="004A6CE0">
              <w:rPr>
                <w:lang w:val="uk-UA"/>
              </w:rPr>
              <w:t xml:space="preserve">Курс розроблено таким чином, щоб надати учасникам необхідні знання, обов’язкові для того, щоб </w:t>
            </w:r>
            <w:r w:rsidR="00E032F4">
              <w:rPr>
                <w:lang w:val="uk-UA"/>
              </w:rPr>
              <w:t xml:space="preserve">вміти застосовувати законодавство про пенсійне забезпечення </w:t>
            </w:r>
            <w:r w:rsidR="00E032F4" w:rsidRPr="005711EA">
              <w:t xml:space="preserve">у </w:t>
            </w:r>
            <w:proofErr w:type="spellStart"/>
            <w:r w:rsidR="00E032F4" w:rsidRPr="005711EA">
              <w:t>процесі</w:t>
            </w:r>
            <w:proofErr w:type="spellEnd"/>
            <w:r w:rsidR="00E032F4" w:rsidRPr="005711EA">
              <w:t xml:space="preserve"> судового </w:t>
            </w:r>
            <w:proofErr w:type="spellStart"/>
            <w:r w:rsidR="00E032F4" w:rsidRPr="005711EA">
              <w:t>захисту</w:t>
            </w:r>
            <w:proofErr w:type="spellEnd"/>
            <w:r w:rsidR="00E032F4" w:rsidRPr="005711EA">
              <w:t xml:space="preserve"> прав </w:t>
            </w:r>
            <w:proofErr w:type="spellStart"/>
            <w:r w:rsidR="00E032F4" w:rsidRPr="005711EA">
              <w:t>громадян</w:t>
            </w:r>
            <w:proofErr w:type="spellEnd"/>
            <w:r w:rsidRPr="004A6CE0">
              <w:rPr>
                <w:lang w:val="uk-UA"/>
              </w:rPr>
              <w:t>. Тому у курсі</w:t>
            </w:r>
            <w:r w:rsidR="00E032F4">
              <w:rPr>
                <w:lang w:val="uk-UA"/>
              </w:rPr>
              <w:t xml:space="preserve"> представлено як огляд концепції</w:t>
            </w:r>
            <w:r w:rsidRPr="004A6CE0">
              <w:rPr>
                <w:lang w:val="uk-UA"/>
              </w:rPr>
              <w:t xml:space="preserve"> </w:t>
            </w:r>
            <w:r w:rsidR="00E032F4">
              <w:rPr>
                <w:lang w:val="uk-UA"/>
              </w:rPr>
              <w:t>соціальних прав</w:t>
            </w:r>
            <w:r w:rsidRPr="004A6CE0">
              <w:rPr>
                <w:lang w:val="uk-UA"/>
              </w:rPr>
              <w:t xml:space="preserve">, </w:t>
            </w:r>
            <w:r w:rsidR="00E032F4">
              <w:rPr>
                <w:lang w:val="uk-UA"/>
              </w:rPr>
              <w:t xml:space="preserve">правових позицій міжнародних та внутрідержавних судових інституцій, </w:t>
            </w:r>
            <w:r w:rsidRPr="004A6CE0">
              <w:rPr>
                <w:lang w:val="uk-UA"/>
              </w:rPr>
              <w:t xml:space="preserve">так і процесів та інструментів, які потрібні для </w:t>
            </w:r>
            <w:r w:rsidR="00E032F4">
              <w:rPr>
                <w:lang w:val="uk-UA"/>
              </w:rPr>
              <w:t>судового захисту прав громадян</w:t>
            </w:r>
            <w:r w:rsidRPr="004A6CE0">
              <w:rPr>
                <w:lang w:val="uk-UA"/>
              </w:rPr>
              <w:t xml:space="preserve">. </w:t>
            </w:r>
          </w:p>
        </w:tc>
      </w:tr>
      <w:tr w:rsidR="009E5073" w:rsidRPr="004A6CE0" w14:paraId="0D7751DD"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45B796BC" w14:textId="77777777" w:rsidR="009E5073" w:rsidRPr="004A6CE0" w:rsidRDefault="009E5073" w:rsidP="001A6AD0">
            <w:pPr>
              <w:jc w:val="both"/>
              <w:rPr>
                <w:b/>
                <w:lang w:val="uk-UA"/>
              </w:rPr>
            </w:pPr>
            <w:r w:rsidRPr="004A6CE0">
              <w:rPr>
                <w:b/>
                <w:lang w:val="uk-UA"/>
              </w:rPr>
              <w:t>Коротка анотація курсу</w:t>
            </w:r>
          </w:p>
        </w:tc>
        <w:tc>
          <w:tcPr>
            <w:tcW w:w="7624" w:type="dxa"/>
            <w:tcBorders>
              <w:top w:val="single" w:sz="4" w:space="0" w:color="000000"/>
              <w:left w:val="single" w:sz="4" w:space="0" w:color="000000"/>
              <w:bottom w:val="single" w:sz="4" w:space="0" w:color="000000"/>
              <w:right w:val="single" w:sz="4" w:space="0" w:color="000000"/>
            </w:tcBorders>
          </w:tcPr>
          <w:p w14:paraId="6E72AC23" w14:textId="327E8467" w:rsidR="009E5073" w:rsidRDefault="009E5073" w:rsidP="001A6AD0">
            <w:pPr>
              <w:jc w:val="both"/>
              <w:rPr>
                <w:lang w:val="uk-UA"/>
              </w:rPr>
            </w:pPr>
            <w:r w:rsidRPr="004A6CE0">
              <w:rPr>
                <w:lang w:val="uk-UA"/>
              </w:rPr>
              <w:t>Дисципліна «</w:t>
            </w:r>
            <w:r w:rsidR="00E032F4" w:rsidRPr="004A6CE0">
              <w:rPr>
                <w:b/>
                <w:lang w:val="uk-UA"/>
              </w:rPr>
              <w:t>Судова практика захисту пенсійних прав громадян</w:t>
            </w:r>
            <w:r w:rsidRPr="004A6CE0">
              <w:rPr>
                <w:lang w:val="uk-UA"/>
              </w:rPr>
              <w:t xml:space="preserve">» є вибірковою дисципліною з спеціальності </w:t>
            </w:r>
            <w:r w:rsidR="00E032F4" w:rsidRPr="00E032F4">
              <w:rPr>
                <w:b/>
                <w:lang w:val="uk-UA"/>
              </w:rPr>
              <w:t>081 “Право”</w:t>
            </w:r>
            <w:r w:rsidR="00E032F4">
              <w:rPr>
                <w:lang w:val="uk-UA"/>
              </w:rPr>
              <w:t xml:space="preserve"> </w:t>
            </w:r>
            <w:r w:rsidRPr="00DA6ED9">
              <w:rPr>
                <w:lang w:val="uk-UA"/>
              </w:rPr>
              <w:t xml:space="preserve">для освітньої програми </w:t>
            </w:r>
            <w:r w:rsidR="00DA6ED9" w:rsidRPr="00DA6ED9">
              <w:rPr>
                <w:lang w:val="uk-UA"/>
              </w:rPr>
              <w:t xml:space="preserve">першого магістерського </w:t>
            </w:r>
            <w:r w:rsidR="005E00E2" w:rsidRPr="00DA6ED9">
              <w:rPr>
                <w:lang w:val="uk-UA"/>
              </w:rPr>
              <w:t>року</w:t>
            </w:r>
            <w:r w:rsidRPr="00DA6ED9">
              <w:rPr>
                <w:lang w:val="uk-UA"/>
              </w:rPr>
              <w:t xml:space="preserve">, яка викладається в </w:t>
            </w:r>
            <w:r w:rsidR="00B42EBB" w:rsidRPr="00DA6ED9">
              <w:rPr>
                <w:lang w:val="uk-UA"/>
              </w:rPr>
              <w:t>1</w:t>
            </w:r>
            <w:r w:rsidR="00DA6ED9">
              <w:rPr>
                <w:lang w:val="uk-UA"/>
              </w:rPr>
              <w:t xml:space="preserve"> </w:t>
            </w:r>
            <w:r w:rsidRPr="004A6CE0">
              <w:rPr>
                <w:lang w:val="uk-UA"/>
              </w:rPr>
              <w:t xml:space="preserve">семестрі в обсязі </w:t>
            </w:r>
            <w:r w:rsidR="00E032F4">
              <w:rPr>
                <w:lang w:val="uk-UA"/>
              </w:rPr>
              <w:t>4</w:t>
            </w:r>
            <w:r w:rsidR="00DA6ED9">
              <w:rPr>
                <w:lang w:val="uk-UA"/>
              </w:rPr>
              <w:t xml:space="preserve"> </w:t>
            </w:r>
            <w:r w:rsidRPr="004A6CE0">
              <w:rPr>
                <w:lang w:val="uk-UA"/>
              </w:rPr>
              <w:t>кредитів (за Європейською Кредитно-Трансферною Системою ECTS).</w:t>
            </w:r>
          </w:p>
          <w:p w14:paraId="428BEFB2" w14:textId="3D2CCF7E" w:rsidR="005711EA" w:rsidRPr="004A6CE0" w:rsidRDefault="005711EA" w:rsidP="001A6AD0">
            <w:pPr>
              <w:jc w:val="both"/>
              <w:rPr>
                <w:lang w:val="uk-UA"/>
              </w:rPr>
            </w:pPr>
          </w:p>
        </w:tc>
      </w:tr>
      <w:tr w:rsidR="009E5073" w:rsidRPr="004A6CE0" w14:paraId="3883E4F9"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358C48BA" w14:textId="77777777" w:rsidR="009E5073" w:rsidRPr="004A6CE0" w:rsidRDefault="009E5073" w:rsidP="001A6AD0">
            <w:pPr>
              <w:jc w:val="both"/>
              <w:rPr>
                <w:b/>
                <w:lang w:val="uk-UA"/>
              </w:rPr>
            </w:pPr>
            <w:r w:rsidRPr="004A6CE0">
              <w:rPr>
                <w:b/>
                <w:lang w:val="uk-UA"/>
              </w:rPr>
              <w:t>Мета та цілі курсу</w:t>
            </w:r>
          </w:p>
        </w:tc>
        <w:tc>
          <w:tcPr>
            <w:tcW w:w="7624" w:type="dxa"/>
            <w:tcBorders>
              <w:top w:val="single" w:sz="4" w:space="0" w:color="000000"/>
              <w:left w:val="single" w:sz="4" w:space="0" w:color="000000"/>
              <w:bottom w:val="single" w:sz="4" w:space="0" w:color="000000"/>
              <w:right w:val="single" w:sz="4" w:space="0" w:color="000000"/>
            </w:tcBorders>
          </w:tcPr>
          <w:p w14:paraId="617781B8" w14:textId="77777777" w:rsidR="005711EA" w:rsidRPr="00BF6873" w:rsidRDefault="005711EA" w:rsidP="001A6AD0">
            <w:pPr>
              <w:jc w:val="both"/>
              <w:rPr>
                <w:lang w:val="uk-UA"/>
              </w:rPr>
            </w:pPr>
            <w:r w:rsidRPr="00BF6873">
              <w:rPr>
                <w:lang w:val="uk-UA"/>
              </w:rPr>
              <w:t>Сформувати у студентів:</w:t>
            </w:r>
          </w:p>
          <w:p w14:paraId="40B84749" w14:textId="77777777" w:rsidR="005711EA" w:rsidRPr="004E222E" w:rsidRDefault="005711EA" w:rsidP="001A6AD0">
            <w:pPr>
              <w:jc w:val="both"/>
              <w:rPr>
                <w:lang w:val="uk-UA"/>
              </w:rPr>
            </w:pPr>
            <w:r w:rsidRPr="004E222E">
              <w:rPr>
                <w:lang w:val="uk-UA"/>
              </w:rPr>
              <w:t xml:space="preserve">Здатність обґрунтовувати та мотивувати правові рішення у сфері реалізації права громадян України на пенсійне забезпечення, давати розгорнуту юридичну аргументацію, базуючись на стандартах, визначених Європейським судом з прав людини та </w:t>
            </w:r>
            <w:r w:rsidRPr="004E222E">
              <w:rPr>
                <w:bCs/>
                <w:lang w:val="uk-UA"/>
              </w:rPr>
              <w:t>Конституційним судом України.</w:t>
            </w:r>
          </w:p>
          <w:p w14:paraId="78939462" w14:textId="77777777" w:rsidR="005711EA" w:rsidRPr="004E222E" w:rsidRDefault="005711EA" w:rsidP="001A6AD0">
            <w:pPr>
              <w:jc w:val="both"/>
              <w:rPr>
                <w:lang w:val="uk-UA"/>
              </w:rPr>
            </w:pPr>
            <w:r w:rsidRPr="004E222E">
              <w:rPr>
                <w:lang w:val="uk-UA"/>
              </w:rPr>
              <w:t>Здатність застосовувати знання та розуміння основних засад (принципів) та процедур адміністративного/загального судочинства в Україні у механізмі захисту пенсійних прав громадян. </w:t>
            </w:r>
          </w:p>
          <w:p w14:paraId="50B05DC6" w14:textId="77777777" w:rsidR="005711EA" w:rsidRPr="004E222E" w:rsidRDefault="005711EA" w:rsidP="001A6AD0">
            <w:pPr>
              <w:jc w:val="both"/>
              <w:rPr>
                <w:lang w:val="uk-UA"/>
              </w:rPr>
            </w:pPr>
            <w:r w:rsidRPr="004E222E">
              <w:rPr>
                <w:lang w:val="uk-UA"/>
              </w:rPr>
              <w:t xml:space="preserve">Здатність застосовувати міждисциплінарний підхід в оцінці пенсійних </w:t>
            </w:r>
            <w:r w:rsidRPr="004E222E">
              <w:rPr>
                <w:lang w:val="uk-UA"/>
              </w:rPr>
              <w:lastRenderedPageBreak/>
              <w:t>юридичних фактів та правозастосовній діяльності у сфері реалізації пенсійних прав. </w:t>
            </w:r>
          </w:p>
          <w:p w14:paraId="190A5D9B" w14:textId="77777777" w:rsidR="005711EA" w:rsidRPr="004E222E" w:rsidRDefault="005711EA" w:rsidP="001A6AD0">
            <w:pPr>
              <w:jc w:val="both"/>
              <w:rPr>
                <w:lang w:val="uk-UA"/>
              </w:rPr>
            </w:pPr>
            <w:r w:rsidRPr="004E222E">
              <w:rPr>
                <w:lang w:val="uk-UA"/>
              </w:rPr>
              <w:t>Здатність критично оцінювати ефективність представництва  і захисту прав, свобод та інтересів клієнтів на підставі  аналізу судової практики у сфері  реалізації прав громадян у сфері пенсійного забезпечення.</w:t>
            </w:r>
          </w:p>
          <w:p w14:paraId="3DB5D3A2" w14:textId="77777777" w:rsidR="005711EA" w:rsidRPr="004E222E" w:rsidRDefault="005711EA" w:rsidP="001A6AD0">
            <w:pPr>
              <w:jc w:val="both"/>
              <w:rPr>
                <w:lang w:val="uk-UA"/>
              </w:rPr>
            </w:pPr>
            <w:r w:rsidRPr="004E222E">
              <w:rPr>
                <w:lang w:val="uk-UA"/>
              </w:rPr>
              <w:t>Здатність самостійно готувати проекти актів правозастосування, застосовуючи пенсійне законодавство, враховуючи вимоги щодо їх законності, обґрунтованості та вмотивованості. </w:t>
            </w:r>
          </w:p>
          <w:p w14:paraId="0384BCE8" w14:textId="77777777" w:rsidR="005711EA" w:rsidRPr="004E222E" w:rsidRDefault="005711EA" w:rsidP="001A6AD0">
            <w:pPr>
              <w:jc w:val="both"/>
              <w:rPr>
                <w:lang w:val="uk-UA"/>
              </w:rPr>
            </w:pPr>
          </w:p>
          <w:p w14:paraId="164FB599" w14:textId="77777777" w:rsidR="005711EA" w:rsidRPr="004E222E" w:rsidRDefault="005711EA" w:rsidP="001A6AD0">
            <w:pPr>
              <w:jc w:val="both"/>
              <w:rPr>
                <w:lang w:val="uk-UA"/>
              </w:rPr>
            </w:pPr>
            <w:r w:rsidRPr="004E222E">
              <w:rPr>
                <w:lang w:val="uk-UA"/>
              </w:rPr>
              <w:t>Обґрунтовано формулювати свою правову позицію щодо підтвердження юридичних фактів, вміти опонувати представникам Пенсійного фонду України, оцінювати докази та наводити переконливі аргументи під час представництва громадян.</w:t>
            </w:r>
          </w:p>
          <w:p w14:paraId="0AF67398" w14:textId="77777777" w:rsidR="005711EA" w:rsidRPr="004E222E" w:rsidRDefault="005711EA" w:rsidP="001A6AD0">
            <w:pPr>
              <w:jc w:val="both"/>
              <w:rPr>
                <w:lang w:val="uk-UA"/>
              </w:rPr>
            </w:pPr>
            <w:r w:rsidRPr="004E222E">
              <w:rPr>
                <w:lang w:val="uk-UA"/>
              </w:rPr>
              <w:t>Проводити порівняльно-правовий аналіз законодавства про пенсійне забезпечення різних держав задля підтвердження права громадян України – трудових мігрантів на пенсійне забезпечення, враховуючи взаємозв’язок правової системи України з правовими системами Ради Європи та Європейського Союзу. </w:t>
            </w:r>
          </w:p>
          <w:p w14:paraId="2BBD4CDC" w14:textId="77777777" w:rsidR="005711EA" w:rsidRPr="004E222E" w:rsidRDefault="005711EA" w:rsidP="001A6AD0">
            <w:pPr>
              <w:jc w:val="both"/>
              <w:rPr>
                <w:lang w:val="uk-UA"/>
              </w:rPr>
            </w:pPr>
            <w:r w:rsidRPr="004E222E">
              <w:rPr>
                <w:lang w:val="uk-UA"/>
              </w:rPr>
              <w:t>Аналізувати та оцінювати практику застосування законодавства про пенсійне забезпечення. </w:t>
            </w:r>
          </w:p>
          <w:p w14:paraId="183A6812" w14:textId="77777777" w:rsidR="005711EA" w:rsidRPr="004E222E" w:rsidRDefault="005711EA" w:rsidP="001A6AD0">
            <w:pPr>
              <w:jc w:val="both"/>
              <w:rPr>
                <w:lang w:val="uk-UA"/>
              </w:rPr>
            </w:pPr>
            <w:r w:rsidRPr="004E222E">
              <w:rPr>
                <w:lang w:val="uk-UA"/>
              </w:rPr>
              <w:t>Обґрунтовувати правову позицію на різних стадіях правозастосування пенсійного законодавства. </w:t>
            </w:r>
          </w:p>
          <w:p w14:paraId="13B72D58" w14:textId="77777777" w:rsidR="005711EA" w:rsidRPr="004E222E" w:rsidRDefault="005711EA" w:rsidP="001A6AD0">
            <w:pPr>
              <w:jc w:val="both"/>
              <w:rPr>
                <w:lang w:val="uk-UA"/>
              </w:rPr>
            </w:pPr>
            <w:r w:rsidRPr="004E222E">
              <w:rPr>
                <w:lang w:val="uk-UA"/>
              </w:rPr>
              <w:t>Практичні навички розв’язання проблем, пов’язаних з реалізацією процесуальних функцій громадян, Пенсійного фонду України та роботодавців.</w:t>
            </w:r>
          </w:p>
          <w:p w14:paraId="75534249" w14:textId="77777777" w:rsidR="005711EA" w:rsidRPr="004E222E" w:rsidRDefault="005711EA" w:rsidP="001A6AD0">
            <w:pPr>
              <w:jc w:val="both"/>
              <w:rPr>
                <w:lang w:val="uk-UA"/>
              </w:rPr>
            </w:pPr>
            <w:r w:rsidRPr="004E222E">
              <w:rPr>
                <w:lang w:val="uk-UA"/>
              </w:rPr>
              <w:t xml:space="preserve">Інтегрувати необхідні знання та розв’язувати складні задачі правозастосування у сфері захисту пенсійних прав громадян. </w:t>
            </w:r>
          </w:p>
          <w:p w14:paraId="08517861" w14:textId="0A5E5F37" w:rsidR="009E5073" w:rsidRPr="004A6CE0" w:rsidRDefault="009E5073" w:rsidP="001A6AD0">
            <w:pPr>
              <w:jc w:val="both"/>
              <w:rPr>
                <w:lang w:val="uk-UA"/>
              </w:rPr>
            </w:pPr>
          </w:p>
        </w:tc>
      </w:tr>
      <w:tr w:rsidR="009E5073" w:rsidRPr="004A6CE0" w14:paraId="0741282D"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36F40617" w14:textId="77777777" w:rsidR="009E5073" w:rsidRPr="004A6CE0" w:rsidRDefault="009E5073" w:rsidP="001A6AD0">
            <w:pPr>
              <w:jc w:val="both"/>
              <w:rPr>
                <w:b/>
                <w:lang w:val="uk-UA"/>
              </w:rPr>
            </w:pPr>
            <w:r w:rsidRPr="004A6CE0">
              <w:rPr>
                <w:b/>
                <w:bCs/>
                <w:lang w:val="uk-UA" w:eastAsia="uk-UA"/>
              </w:rPr>
              <w:lastRenderedPageBreak/>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14:paraId="411C7A92" w14:textId="77777777" w:rsidR="0071752C" w:rsidRPr="00DD514B" w:rsidRDefault="0071752C" w:rsidP="001A6AD0">
            <w:pPr>
              <w:jc w:val="both"/>
              <w:rPr>
                <w:b/>
                <w:sz w:val="20"/>
                <w:szCs w:val="20"/>
                <w:lang w:val="uk-UA"/>
              </w:rPr>
            </w:pPr>
            <w:r>
              <w:rPr>
                <w:b/>
                <w:sz w:val="20"/>
                <w:szCs w:val="20"/>
                <w:lang w:val="uk-UA"/>
              </w:rPr>
              <w:t>Перелік судових рішень.</w:t>
            </w:r>
          </w:p>
          <w:p w14:paraId="64E821E4" w14:textId="18D55677" w:rsidR="00081FD4" w:rsidRDefault="00081FD4" w:rsidP="001A6AD0">
            <w:pPr>
              <w:jc w:val="both"/>
              <w:rPr>
                <w:rFonts w:eastAsia="Times New Roman"/>
              </w:rPr>
            </w:pPr>
          </w:p>
          <w:p w14:paraId="217E6635" w14:textId="0E6E9940" w:rsidR="00353D2C" w:rsidRPr="00353D2C" w:rsidRDefault="009B3ED2" w:rsidP="00DA6ED9">
            <w:pPr>
              <w:pStyle w:val="1"/>
              <w:spacing w:after="0"/>
              <w:ind w:left="-50" w:firstLine="50"/>
              <w:rPr>
                <w:rFonts w:eastAsia="Times New Roman"/>
                <w:sz w:val="24"/>
                <w:szCs w:val="24"/>
              </w:rPr>
            </w:pPr>
            <w:proofErr w:type="spellStart"/>
            <w:r w:rsidRPr="00353D2C">
              <w:t>Pauline</w:t>
            </w:r>
            <w:proofErr w:type="spellEnd"/>
            <w:r w:rsidRPr="00353D2C">
              <w:t xml:space="preserve"> </w:t>
            </w:r>
            <w:proofErr w:type="spellStart"/>
            <w:r w:rsidRPr="00353D2C">
              <w:t>Meline</w:t>
            </w:r>
            <w:proofErr w:type="spellEnd"/>
            <w:r w:rsidR="00353D2C" w:rsidRPr="00353D2C">
              <w:t>.</w:t>
            </w:r>
            <w:r w:rsidRPr="00353D2C">
              <w:t xml:space="preserve"> </w:t>
            </w:r>
            <w:proofErr w:type="spellStart"/>
            <w:r w:rsidRPr="00353D2C">
              <w:t>Overviev</w:t>
            </w:r>
            <w:proofErr w:type="spellEnd"/>
            <w:r w:rsidRPr="00353D2C">
              <w:t xml:space="preserve"> </w:t>
            </w:r>
            <w:proofErr w:type="spellStart"/>
            <w:r w:rsidRPr="00353D2C">
              <w:t>of</w:t>
            </w:r>
            <w:proofErr w:type="spellEnd"/>
            <w:r w:rsidRPr="00353D2C">
              <w:t xml:space="preserve"> </w:t>
            </w:r>
            <w:proofErr w:type="spellStart"/>
            <w:r w:rsidRPr="00353D2C">
              <w:t>recent</w:t>
            </w:r>
            <w:proofErr w:type="spellEnd"/>
            <w:r w:rsidRPr="00353D2C">
              <w:t xml:space="preserve"> </w:t>
            </w:r>
            <w:proofErr w:type="spellStart"/>
            <w:r w:rsidRPr="00353D2C">
              <w:t>cases</w:t>
            </w:r>
            <w:proofErr w:type="spellEnd"/>
            <w:r w:rsidRPr="00353D2C">
              <w:t xml:space="preserve"> </w:t>
            </w:r>
            <w:proofErr w:type="spellStart"/>
            <w:r w:rsidRPr="00353D2C">
              <w:t>bef</w:t>
            </w:r>
            <w:r w:rsidR="00353D2C" w:rsidRPr="00353D2C">
              <w:t>ore</w:t>
            </w:r>
            <w:proofErr w:type="spellEnd"/>
            <w:r w:rsidR="00353D2C" w:rsidRPr="00353D2C">
              <w:t xml:space="preserve"> </w:t>
            </w:r>
            <w:proofErr w:type="spellStart"/>
            <w:r w:rsidR="00353D2C" w:rsidRPr="00353D2C">
              <w:t>the</w:t>
            </w:r>
            <w:proofErr w:type="spellEnd"/>
            <w:r w:rsidR="00353D2C" w:rsidRPr="00353D2C">
              <w:t xml:space="preserve"> </w:t>
            </w:r>
            <w:proofErr w:type="spellStart"/>
            <w:r w:rsidR="00353D2C" w:rsidRPr="00353D2C">
              <w:t>Co</w:t>
            </w:r>
            <w:r w:rsidRPr="00353D2C">
              <w:t>urt</w:t>
            </w:r>
            <w:proofErr w:type="spellEnd"/>
            <w:r w:rsidRPr="00353D2C">
              <w:t xml:space="preserve"> </w:t>
            </w:r>
            <w:proofErr w:type="spellStart"/>
            <w:r w:rsidRPr="00353D2C">
              <w:t>of</w:t>
            </w:r>
            <w:proofErr w:type="spellEnd"/>
            <w:r w:rsidRPr="00353D2C">
              <w:t xml:space="preserve"> </w:t>
            </w:r>
            <w:proofErr w:type="spellStart"/>
            <w:r w:rsidRPr="00353D2C">
              <w:t>Justice</w:t>
            </w:r>
            <w:proofErr w:type="spellEnd"/>
            <w:r w:rsidRPr="00353D2C">
              <w:t xml:space="preserve"> </w:t>
            </w:r>
            <w:proofErr w:type="spellStart"/>
            <w:r w:rsidRPr="00353D2C">
              <w:t>of</w:t>
            </w:r>
            <w:proofErr w:type="spellEnd"/>
            <w:r w:rsidRPr="00353D2C">
              <w:t xml:space="preserve"> </w:t>
            </w:r>
            <w:proofErr w:type="spellStart"/>
            <w:r w:rsidRPr="00353D2C">
              <w:t>European</w:t>
            </w:r>
            <w:proofErr w:type="spellEnd"/>
            <w:r w:rsidRPr="00353D2C">
              <w:t xml:space="preserve"> </w:t>
            </w:r>
            <w:proofErr w:type="spellStart"/>
            <w:r w:rsidRPr="00353D2C">
              <w:t>Union</w:t>
            </w:r>
            <w:proofErr w:type="spellEnd"/>
            <w:r w:rsidRPr="00353D2C">
              <w:t xml:space="preserve"> (</w:t>
            </w:r>
            <w:proofErr w:type="spellStart"/>
            <w:r w:rsidRPr="00353D2C">
              <w:t>October</w:t>
            </w:r>
            <w:proofErr w:type="spellEnd"/>
            <w:r w:rsidRPr="00353D2C">
              <w:t xml:space="preserve"> 2019-January 2020).</w:t>
            </w:r>
            <w:r w:rsidR="006E1CC6" w:rsidRPr="00353D2C">
              <w:t xml:space="preserve"> </w:t>
            </w:r>
            <w:r w:rsidR="00766DC6" w:rsidRPr="00353D2C">
              <w:t xml:space="preserve">// </w:t>
            </w:r>
            <w:proofErr w:type="spellStart"/>
            <w:r w:rsidR="006E1CC6" w:rsidRPr="00353D2C">
              <w:t>European</w:t>
            </w:r>
            <w:proofErr w:type="spellEnd"/>
            <w:r w:rsidR="006E1CC6" w:rsidRPr="00353D2C">
              <w:t xml:space="preserve"> </w:t>
            </w:r>
            <w:proofErr w:type="spellStart"/>
            <w:r w:rsidR="006E1CC6" w:rsidRPr="00353D2C">
              <w:t>Journal</w:t>
            </w:r>
            <w:proofErr w:type="spellEnd"/>
            <w:r w:rsidR="006E1CC6" w:rsidRPr="00353D2C">
              <w:t xml:space="preserve"> </w:t>
            </w:r>
            <w:proofErr w:type="spellStart"/>
            <w:r w:rsidR="006E1CC6" w:rsidRPr="00353D2C">
              <w:t>of</w:t>
            </w:r>
            <w:proofErr w:type="spellEnd"/>
            <w:r w:rsidR="006E1CC6" w:rsidRPr="00353D2C">
              <w:t xml:space="preserve"> </w:t>
            </w:r>
            <w:proofErr w:type="spellStart"/>
            <w:r w:rsidR="006E1CC6" w:rsidRPr="00353D2C">
              <w:t>Social</w:t>
            </w:r>
            <w:proofErr w:type="spellEnd"/>
            <w:r w:rsidR="006E1CC6" w:rsidRPr="00353D2C">
              <w:t xml:space="preserve"> </w:t>
            </w:r>
            <w:proofErr w:type="spellStart"/>
            <w:r w:rsidR="006E1CC6" w:rsidRPr="00353D2C">
              <w:t>Security</w:t>
            </w:r>
            <w:proofErr w:type="spellEnd"/>
            <w:r w:rsidR="006E1CC6" w:rsidRPr="00353D2C">
              <w:t xml:space="preserve"> </w:t>
            </w:r>
            <w:r w:rsidRPr="00353D2C">
              <w:t xml:space="preserve"> URL :</w:t>
            </w:r>
            <w:r w:rsidR="00353D2C" w:rsidRPr="00353D2C">
              <w:t xml:space="preserve"> </w:t>
            </w:r>
            <w:hyperlink r:id="rId9" w:history="1">
              <w:r w:rsidR="00353D2C" w:rsidRPr="00353D2C">
                <w:rPr>
                  <w:rStyle w:val="a4"/>
                  <w:rFonts w:ascii="Arial" w:eastAsia="Times New Roman" w:hAnsi="Arial" w:cs="Arial"/>
                  <w:color w:val="006ACC"/>
                  <w:sz w:val="21"/>
                  <w:szCs w:val="21"/>
                  <w:shd w:val="clear" w:color="auto" w:fill="FFFFFF"/>
                  <w:lang w:val="en-US"/>
                </w:rPr>
                <w:t>https://doi.org/10.1177/1388262720911530</w:t>
              </w:r>
            </w:hyperlink>
          </w:p>
          <w:p w14:paraId="454E6EF4" w14:textId="43F9E306" w:rsidR="00766DC6" w:rsidRPr="00766DC6" w:rsidRDefault="00766DC6" w:rsidP="00DA6ED9">
            <w:pPr>
              <w:pStyle w:val="1"/>
              <w:spacing w:after="0"/>
              <w:ind w:left="-50" w:firstLine="50"/>
              <w:rPr>
                <w:rFonts w:eastAsia="Times New Roman"/>
              </w:rPr>
            </w:pPr>
            <w:proofErr w:type="spellStart"/>
            <w:r>
              <w:t>Anne</w:t>
            </w:r>
            <w:proofErr w:type="spellEnd"/>
            <w:r>
              <w:t xml:space="preserve"> </w:t>
            </w:r>
            <w:proofErr w:type="spellStart"/>
            <w:r>
              <w:t>Pieter</w:t>
            </w:r>
            <w:proofErr w:type="spellEnd"/>
            <w:r>
              <w:t xml:space="preserve"> </w:t>
            </w:r>
            <w:proofErr w:type="spellStart"/>
            <w:r>
              <w:t>van</w:t>
            </w:r>
            <w:proofErr w:type="spellEnd"/>
            <w:r>
              <w:t xml:space="preserve"> </w:t>
            </w:r>
            <w:proofErr w:type="spellStart"/>
            <w:r>
              <w:t>der</w:t>
            </w:r>
            <w:proofErr w:type="spellEnd"/>
            <w:r>
              <w:t xml:space="preserve"> </w:t>
            </w:r>
            <w:proofErr w:type="spellStart"/>
            <w:r>
              <w:t>Mei</w:t>
            </w:r>
            <w:proofErr w:type="spellEnd"/>
            <w:r>
              <w:t xml:space="preserve">, </w:t>
            </w:r>
            <w:proofErr w:type="spellStart"/>
            <w:r w:rsidRPr="00353D2C">
              <w:t>Pauline</w:t>
            </w:r>
            <w:proofErr w:type="spellEnd"/>
            <w:r w:rsidRPr="00353D2C">
              <w:t xml:space="preserve"> </w:t>
            </w:r>
            <w:proofErr w:type="spellStart"/>
            <w:r w:rsidRPr="00353D2C">
              <w:t>Meline</w:t>
            </w:r>
            <w:proofErr w:type="spellEnd"/>
            <w:r w:rsidRPr="00353D2C">
              <w:t xml:space="preserve">. </w:t>
            </w:r>
            <w:proofErr w:type="spellStart"/>
            <w:r w:rsidRPr="00353D2C">
              <w:t>Overviev</w:t>
            </w:r>
            <w:proofErr w:type="spellEnd"/>
            <w:r w:rsidRPr="00353D2C">
              <w:t xml:space="preserve"> </w:t>
            </w:r>
            <w:proofErr w:type="spellStart"/>
            <w:r w:rsidRPr="00353D2C">
              <w:t>of</w:t>
            </w:r>
            <w:proofErr w:type="spellEnd"/>
            <w:r w:rsidRPr="00353D2C">
              <w:t xml:space="preserve"> </w:t>
            </w:r>
            <w:proofErr w:type="spellStart"/>
            <w:r w:rsidRPr="00353D2C">
              <w:t>recent</w:t>
            </w:r>
            <w:proofErr w:type="spellEnd"/>
            <w:r w:rsidRPr="00353D2C">
              <w:t xml:space="preserve"> </w:t>
            </w:r>
            <w:proofErr w:type="spellStart"/>
            <w:r w:rsidRPr="00353D2C">
              <w:t>cases</w:t>
            </w:r>
            <w:proofErr w:type="spellEnd"/>
            <w:r w:rsidRPr="00353D2C">
              <w:t xml:space="preserve"> </w:t>
            </w:r>
            <w:proofErr w:type="spellStart"/>
            <w:r w:rsidRPr="00353D2C">
              <w:t>before</w:t>
            </w:r>
            <w:proofErr w:type="spellEnd"/>
            <w:r w:rsidRPr="00353D2C">
              <w:t xml:space="preserve"> </w:t>
            </w:r>
            <w:proofErr w:type="spellStart"/>
            <w:r w:rsidRPr="00353D2C">
              <w:t>the</w:t>
            </w:r>
            <w:proofErr w:type="spellEnd"/>
            <w:r w:rsidRPr="00353D2C">
              <w:t xml:space="preserve"> </w:t>
            </w:r>
            <w:proofErr w:type="spellStart"/>
            <w:r w:rsidRPr="00353D2C">
              <w:t>Court</w:t>
            </w:r>
            <w:proofErr w:type="spellEnd"/>
            <w:r w:rsidRPr="00353D2C">
              <w:t xml:space="preserve"> </w:t>
            </w:r>
            <w:proofErr w:type="spellStart"/>
            <w:r w:rsidRPr="00353D2C">
              <w:t>of</w:t>
            </w:r>
            <w:proofErr w:type="spellEnd"/>
            <w:r w:rsidRPr="00353D2C">
              <w:t xml:space="preserve"> </w:t>
            </w:r>
            <w:proofErr w:type="spellStart"/>
            <w:r w:rsidRPr="00353D2C">
              <w:t>Justice</w:t>
            </w:r>
            <w:proofErr w:type="spellEnd"/>
            <w:r w:rsidRPr="00353D2C">
              <w:t xml:space="preserve"> </w:t>
            </w:r>
            <w:proofErr w:type="spellStart"/>
            <w:r w:rsidRPr="00353D2C">
              <w:t>of</w:t>
            </w:r>
            <w:proofErr w:type="spellEnd"/>
            <w:r w:rsidRPr="00353D2C">
              <w:t xml:space="preserve"> </w:t>
            </w:r>
            <w:proofErr w:type="spellStart"/>
            <w:r w:rsidRPr="00353D2C">
              <w:t>European</w:t>
            </w:r>
            <w:proofErr w:type="spellEnd"/>
            <w:r w:rsidRPr="00353D2C">
              <w:t xml:space="preserve"> </w:t>
            </w:r>
            <w:proofErr w:type="spellStart"/>
            <w:r w:rsidRPr="00353D2C">
              <w:t>Union</w:t>
            </w:r>
            <w:proofErr w:type="spellEnd"/>
            <w:r w:rsidRPr="00353D2C">
              <w:t xml:space="preserve"> (</w:t>
            </w:r>
            <w:proofErr w:type="spellStart"/>
            <w:r>
              <w:t>November</w:t>
            </w:r>
            <w:proofErr w:type="spellEnd"/>
            <w:r>
              <w:t xml:space="preserve"> 2018-January 2019</w:t>
            </w:r>
            <w:r w:rsidRPr="00353D2C">
              <w:t xml:space="preserve">). / </w:t>
            </w:r>
            <w:proofErr w:type="spellStart"/>
            <w:r w:rsidRPr="00353D2C">
              <w:t>European</w:t>
            </w:r>
            <w:proofErr w:type="spellEnd"/>
            <w:r w:rsidRPr="00353D2C">
              <w:t xml:space="preserve"> </w:t>
            </w:r>
            <w:proofErr w:type="spellStart"/>
            <w:r w:rsidRPr="00353D2C">
              <w:t>Journal</w:t>
            </w:r>
            <w:proofErr w:type="spellEnd"/>
            <w:r w:rsidRPr="00353D2C">
              <w:t xml:space="preserve"> </w:t>
            </w:r>
            <w:proofErr w:type="spellStart"/>
            <w:r w:rsidRPr="00353D2C">
              <w:t>of</w:t>
            </w:r>
            <w:proofErr w:type="spellEnd"/>
            <w:r w:rsidRPr="00353D2C">
              <w:t xml:space="preserve"> </w:t>
            </w:r>
            <w:proofErr w:type="spellStart"/>
            <w:r w:rsidRPr="00353D2C">
              <w:t>Social</w:t>
            </w:r>
            <w:proofErr w:type="spellEnd"/>
            <w:r w:rsidRPr="00353D2C">
              <w:t xml:space="preserve"> </w:t>
            </w:r>
            <w:proofErr w:type="spellStart"/>
            <w:r w:rsidRPr="00353D2C">
              <w:t>Security</w:t>
            </w:r>
            <w:proofErr w:type="spellEnd"/>
            <w:r w:rsidRPr="00353D2C">
              <w:t xml:space="preserve">  URL :</w:t>
            </w:r>
            <w:r>
              <w:t xml:space="preserve"> </w:t>
            </w:r>
            <w:hyperlink r:id="rId10" w:history="1">
              <w:r w:rsidRPr="00766DC6">
                <w:rPr>
                  <w:rFonts w:ascii="Arial" w:eastAsia="Times New Roman" w:hAnsi="Arial" w:cs="Arial"/>
                  <w:color w:val="006ACC"/>
                  <w:sz w:val="21"/>
                  <w:szCs w:val="21"/>
                  <w:u w:val="single"/>
                  <w:shd w:val="clear" w:color="auto" w:fill="FFFFFF"/>
                </w:rPr>
                <w:t>https://doi.org/10.1177/1388262719838945</w:t>
              </w:r>
            </w:hyperlink>
          </w:p>
          <w:p w14:paraId="5511254F" w14:textId="59368C50" w:rsidR="00EF13C0" w:rsidRPr="00EF13C0" w:rsidRDefault="003437B2" w:rsidP="00DA6ED9">
            <w:pPr>
              <w:pStyle w:val="1"/>
              <w:spacing w:after="0"/>
              <w:ind w:left="-50" w:firstLine="50"/>
              <w:rPr>
                <w:rFonts w:eastAsia="Times New Roman"/>
              </w:rPr>
            </w:pPr>
            <w:proofErr w:type="spellStart"/>
            <w:r w:rsidRPr="00353D2C">
              <w:t>Pauline</w:t>
            </w:r>
            <w:proofErr w:type="spellEnd"/>
            <w:r w:rsidRPr="00353D2C">
              <w:t xml:space="preserve"> </w:t>
            </w:r>
            <w:proofErr w:type="spellStart"/>
            <w:r w:rsidRPr="00353D2C">
              <w:t>Meline</w:t>
            </w:r>
            <w:proofErr w:type="spellEnd"/>
            <w:r w:rsidRPr="00353D2C">
              <w:t xml:space="preserve">. </w:t>
            </w:r>
            <w:proofErr w:type="spellStart"/>
            <w:r w:rsidRPr="00353D2C">
              <w:t>Overviev</w:t>
            </w:r>
            <w:proofErr w:type="spellEnd"/>
            <w:r w:rsidRPr="00353D2C">
              <w:t xml:space="preserve"> </w:t>
            </w:r>
            <w:proofErr w:type="spellStart"/>
            <w:r w:rsidRPr="00353D2C">
              <w:t>of</w:t>
            </w:r>
            <w:proofErr w:type="spellEnd"/>
            <w:r w:rsidRPr="00353D2C">
              <w:t xml:space="preserve"> </w:t>
            </w:r>
            <w:proofErr w:type="spellStart"/>
            <w:r w:rsidRPr="00353D2C">
              <w:t>recent</w:t>
            </w:r>
            <w:proofErr w:type="spellEnd"/>
            <w:r w:rsidRPr="00353D2C">
              <w:t xml:space="preserve"> </w:t>
            </w:r>
            <w:proofErr w:type="spellStart"/>
            <w:r w:rsidRPr="00353D2C">
              <w:t>cases</w:t>
            </w:r>
            <w:proofErr w:type="spellEnd"/>
            <w:r w:rsidRPr="00353D2C">
              <w:t xml:space="preserve"> </w:t>
            </w:r>
            <w:proofErr w:type="spellStart"/>
            <w:r w:rsidRPr="00353D2C">
              <w:t>before</w:t>
            </w:r>
            <w:proofErr w:type="spellEnd"/>
            <w:r w:rsidRPr="00353D2C">
              <w:t xml:space="preserve"> </w:t>
            </w:r>
            <w:proofErr w:type="spellStart"/>
            <w:r w:rsidRPr="00353D2C">
              <w:t>the</w:t>
            </w:r>
            <w:proofErr w:type="spellEnd"/>
            <w:r w:rsidRPr="00353D2C">
              <w:t xml:space="preserve"> </w:t>
            </w:r>
            <w:proofErr w:type="spellStart"/>
            <w:r w:rsidRPr="00353D2C">
              <w:t>Court</w:t>
            </w:r>
            <w:proofErr w:type="spellEnd"/>
            <w:r w:rsidRPr="00353D2C">
              <w:t xml:space="preserve"> </w:t>
            </w:r>
            <w:proofErr w:type="spellStart"/>
            <w:r w:rsidRPr="00353D2C">
              <w:t>of</w:t>
            </w:r>
            <w:proofErr w:type="spellEnd"/>
            <w:r w:rsidRPr="00353D2C">
              <w:t xml:space="preserve"> </w:t>
            </w:r>
            <w:proofErr w:type="spellStart"/>
            <w:r w:rsidRPr="00353D2C">
              <w:t>Justice</w:t>
            </w:r>
            <w:proofErr w:type="spellEnd"/>
            <w:r w:rsidRPr="00353D2C">
              <w:t xml:space="preserve"> </w:t>
            </w:r>
            <w:proofErr w:type="spellStart"/>
            <w:r w:rsidRPr="00353D2C">
              <w:t>of</w:t>
            </w:r>
            <w:proofErr w:type="spellEnd"/>
            <w:r w:rsidRPr="00353D2C">
              <w:t xml:space="preserve"> </w:t>
            </w:r>
            <w:proofErr w:type="spellStart"/>
            <w:r w:rsidRPr="00353D2C">
              <w:t>European</w:t>
            </w:r>
            <w:proofErr w:type="spellEnd"/>
            <w:r w:rsidRPr="00353D2C">
              <w:t xml:space="preserve"> </w:t>
            </w:r>
            <w:proofErr w:type="spellStart"/>
            <w:r w:rsidRPr="00353D2C">
              <w:t>Union</w:t>
            </w:r>
            <w:proofErr w:type="spellEnd"/>
            <w:r w:rsidRPr="00353D2C">
              <w:t xml:space="preserve"> (</w:t>
            </w:r>
            <w:proofErr w:type="spellStart"/>
            <w:r>
              <w:t>February</w:t>
            </w:r>
            <w:proofErr w:type="spellEnd"/>
            <w:r>
              <w:t xml:space="preserve"> 2020-June</w:t>
            </w:r>
            <w:r w:rsidRPr="00353D2C">
              <w:t xml:space="preserve"> 2020).</w:t>
            </w:r>
            <w:r>
              <w:t xml:space="preserve"> </w:t>
            </w:r>
            <w:r w:rsidRPr="00353D2C">
              <w:t xml:space="preserve">// </w:t>
            </w:r>
            <w:proofErr w:type="spellStart"/>
            <w:r w:rsidRPr="00353D2C">
              <w:t>European</w:t>
            </w:r>
            <w:proofErr w:type="spellEnd"/>
            <w:r w:rsidRPr="00353D2C">
              <w:t xml:space="preserve"> </w:t>
            </w:r>
            <w:proofErr w:type="spellStart"/>
            <w:r w:rsidRPr="00353D2C">
              <w:t>Journal</w:t>
            </w:r>
            <w:proofErr w:type="spellEnd"/>
            <w:r w:rsidRPr="00353D2C">
              <w:t xml:space="preserve"> </w:t>
            </w:r>
            <w:proofErr w:type="spellStart"/>
            <w:r w:rsidRPr="00353D2C">
              <w:t>of</w:t>
            </w:r>
            <w:proofErr w:type="spellEnd"/>
            <w:r w:rsidRPr="00353D2C">
              <w:t xml:space="preserve"> </w:t>
            </w:r>
            <w:proofErr w:type="spellStart"/>
            <w:r w:rsidRPr="00353D2C">
              <w:t>Social</w:t>
            </w:r>
            <w:proofErr w:type="spellEnd"/>
            <w:r w:rsidRPr="00353D2C">
              <w:t xml:space="preserve"> </w:t>
            </w:r>
            <w:proofErr w:type="spellStart"/>
            <w:r w:rsidRPr="00353D2C">
              <w:t>Security</w:t>
            </w:r>
            <w:proofErr w:type="spellEnd"/>
            <w:r w:rsidRPr="00353D2C">
              <w:t xml:space="preserve">  URL :</w:t>
            </w:r>
            <w:r w:rsidRPr="003437B2">
              <w:rPr>
                <w:rFonts w:eastAsia="Times New Roman"/>
              </w:rPr>
              <w:t xml:space="preserve"> </w:t>
            </w:r>
            <w:hyperlink r:id="rId11" w:history="1">
              <w:r w:rsidRPr="003437B2">
                <w:rPr>
                  <w:rFonts w:ascii="Arial" w:eastAsia="Times New Roman" w:hAnsi="Arial" w:cs="Arial"/>
                  <w:color w:val="006ACC"/>
                  <w:sz w:val="21"/>
                  <w:szCs w:val="21"/>
                  <w:u w:val="single"/>
                  <w:shd w:val="clear" w:color="auto" w:fill="FFFFFF"/>
                </w:rPr>
                <w:t>https://doi.org/10.1177/1388262720947726</w:t>
              </w:r>
            </w:hyperlink>
          </w:p>
          <w:p w14:paraId="0D30F3C6" w14:textId="5AF4470E" w:rsidR="00727F43" w:rsidRDefault="00727F43" w:rsidP="00DA6ED9">
            <w:pPr>
              <w:pStyle w:val="1"/>
              <w:spacing w:after="0"/>
              <w:ind w:left="-50" w:firstLine="50"/>
            </w:pPr>
            <w:proofErr w:type="spellStart"/>
            <w:r w:rsidRPr="00640AFF">
              <w:t>Бори</w:t>
            </w:r>
            <w:proofErr w:type="spellEnd"/>
            <w:r w:rsidRPr="00640AFF">
              <w:t>ченко К. В. Юридичний механізм забезпечення права на соціальний захист: проблеми теорії та практики: монографія. Одеса: Фенікс, 2019. 552 с.</w:t>
            </w:r>
          </w:p>
          <w:p w14:paraId="10E4F070" w14:textId="39E8A33F" w:rsidR="008F0115" w:rsidRPr="008F0115" w:rsidRDefault="008F0115" w:rsidP="00DA6ED9">
            <w:pPr>
              <w:pStyle w:val="1"/>
              <w:spacing w:after="0"/>
              <w:ind w:left="-50" w:firstLine="50"/>
            </w:pPr>
            <w:proofErr w:type="spellStart"/>
            <w:r w:rsidRPr="008F0115">
              <w:t>Дудаш</w:t>
            </w:r>
            <w:proofErr w:type="spellEnd"/>
            <w:r w:rsidRPr="008F0115">
              <w:t xml:space="preserve"> Т. І. Практика Європейського Суду з прав людини: </w:t>
            </w:r>
            <w:proofErr w:type="spellStart"/>
            <w:r w:rsidRPr="008F0115">
              <w:t>навч</w:t>
            </w:r>
            <w:proofErr w:type="spellEnd"/>
            <w:r w:rsidRPr="008F0115">
              <w:t xml:space="preserve">. </w:t>
            </w:r>
            <w:proofErr w:type="spellStart"/>
            <w:r w:rsidRPr="008F0115">
              <w:t>посіб</w:t>
            </w:r>
            <w:proofErr w:type="spellEnd"/>
            <w:r w:rsidRPr="008F0115">
              <w:t xml:space="preserve">. / Т. І. </w:t>
            </w:r>
            <w:proofErr w:type="spellStart"/>
            <w:r w:rsidRPr="008F0115">
              <w:t>Дудаш</w:t>
            </w:r>
            <w:proofErr w:type="spellEnd"/>
            <w:r w:rsidRPr="008F0115">
              <w:t xml:space="preserve">. 2-ге вид., змінене і доповнене. – </w:t>
            </w:r>
            <w:proofErr w:type="spellStart"/>
            <w:r w:rsidRPr="008F0115">
              <w:t>Алерта</w:t>
            </w:r>
            <w:proofErr w:type="spellEnd"/>
            <w:r w:rsidRPr="008F0115">
              <w:t>, 2014. – 488</w:t>
            </w:r>
          </w:p>
          <w:p w14:paraId="51E0C0DF" w14:textId="526198D0" w:rsidR="008F0115" w:rsidRPr="008F0115" w:rsidRDefault="008F0115" w:rsidP="00DA6ED9">
            <w:pPr>
              <w:pStyle w:val="1"/>
              <w:spacing w:after="0"/>
              <w:ind w:left="-50" w:firstLine="50"/>
            </w:pPr>
            <w:r w:rsidRPr="008F0115">
              <w:t>Головін А. С. Захист прав і свобод людини і громадянина при здійсненні правосуддя в рішеннях Конституційного Суду України / А. С. Головін. – К. : Логос, 2011. – 307 с.</w:t>
            </w:r>
          </w:p>
          <w:p w14:paraId="5DFB0DEF" w14:textId="77777777" w:rsidR="008F0115" w:rsidRPr="00C77897" w:rsidRDefault="008F0115" w:rsidP="00DA6ED9">
            <w:pPr>
              <w:pStyle w:val="1"/>
              <w:spacing w:after="0"/>
              <w:ind w:left="-50" w:firstLine="50"/>
            </w:pPr>
            <w:proofErr w:type="spellStart"/>
            <w:r w:rsidRPr="00C77897">
              <w:t>Ласько</w:t>
            </w:r>
            <w:proofErr w:type="spellEnd"/>
            <w:r w:rsidRPr="00C77897">
              <w:t xml:space="preserve"> І. М. Захист прав на соціальне забезпечення Європейським судом з прав людини / І.М. </w:t>
            </w:r>
            <w:proofErr w:type="spellStart"/>
            <w:r w:rsidRPr="00C77897">
              <w:t>Ласько</w:t>
            </w:r>
            <w:proofErr w:type="spellEnd"/>
            <w:r w:rsidRPr="00C77897">
              <w:t xml:space="preserve"> // Право, економічні та організаційні засади реалізації державної політики зайнятості: матеріали Всеукраїнської науково-практичної конференції. 22 грудня 2015 р., Львів. – С. 82 – 85</w:t>
            </w:r>
          </w:p>
          <w:p w14:paraId="37FF7367" w14:textId="0A3DA9E0" w:rsidR="008F0115" w:rsidRDefault="008F0115" w:rsidP="00DA6ED9">
            <w:pPr>
              <w:pStyle w:val="1"/>
              <w:spacing w:after="0"/>
              <w:ind w:left="0" w:firstLine="0"/>
            </w:pPr>
            <w:proofErr w:type="spellStart"/>
            <w:r w:rsidRPr="00C77897">
              <w:t>Ласько</w:t>
            </w:r>
            <w:proofErr w:type="spellEnd"/>
            <w:r w:rsidRPr="00C77897">
              <w:t xml:space="preserve"> І. До питання про дискримінацію при реалізації права на соціальне забезпечення у рішеннях Європейського суду з прав людини / І. </w:t>
            </w:r>
            <w:proofErr w:type="spellStart"/>
            <w:r w:rsidRPr="00C77897">
              <w:t>Ласько</w:t>
            </w:r>
            <w:proofErr w:type="spellEnd"/>
            <w:r w:rsidRPr="00C77897">
              <w:t xml:space="preserve"> // </w:t>
            </w:r>
            <w:proofErr w:type="spellStart"/>
            <w:r w:rsidRPr="00C77897">
              <w:t>Pravnaveda</w:t>
            </w:r>
            <w:proofErr w:type="spellEnd"/>
            <w:r w:rsidRPr="00C77897">
              <w:t xml:space="preserve"> a </w:t>
            </w:r>
            <w:proofErr w:type="spellStart"/>
            <w:r w:rsidRPr="00C77897">
              <w:t>prax</w:t>
            </w:r>
            <w:proofErr w:type="spellEnd"/>
            <w:r w:rsidRPr="00C77897">
              <w:t xml:space="preserve">: </w:t>
            </w:r>
            <w:proofErr w:type="spellStart"/>
            <w:r w:rsidRPr="00C77897">
              <w:t>modernycheuropskychintegracnychprocesov</w:t>
            </w:r>
            <w:proofErr w:type="spellEnd"/>
            <w:r w:rsidRPr="00C77897">
              <w:t xml:space="preserve">: </w:t>
            </w:r>
            <w:proofErr w:type="spellStart"/>
            <w:r w:rsidRPr="00C77897">
              <w:t>zbornikprispevkov</w:t>
            </w:r>
            <w:proofErr w:type="spellEnd"/>
            <w:r w:rsidRPr="00C77897">
              <w:t xml:space="preserve"> z </w:t>
            </w:r>
            <w:proofErr w:type="spellStart"/>
            <w:r w:rsidRPr="00C77897">
              <w:t>medzinarodnejvedeckejkonferencie</w:t>
            </w:r>
            <w:proofErr w:type="spellEnd"/>
            <w:r w:rsidRPr="00C77897">
              <w:t xml:space="preserve">. 27-28 </w:t>
            </w:r>
            <w:proofErr w:type="spellStart"/>
            <w:r w:rsidRPr="00C77897">
              <w:t>novembra</w:t>
            </w:r>
            <w:proofErr w:type="spellEnd"/>
            <w:r w:rsidRPr="00C77897">
              <w:t xml:space="preserve"> 2015, </w:t>
            </w:r>
            <w:proofErr w:type="spellStart"/>
            <w:r w:rsidRPr="00C77897">
              <w:t>Bratislava</w:t>
            </w:r>
            <w:proofErr w:type="spellEnd"/>
            <w:r w:rsidRPr="00C77897">
              <w:t xml:space="preserve"> – P. 157-160.</w:t>
            </w:r>
          </w:p>
          <w:p w14:paraId="7A6083E6" w14:textId="68D85228" w:rsidR="00A6066F" w:rsidRDefault="00A6066F" w:rsidP="00DA6ED9">
            <w:pPr>
              <w:pStyle w:val="1"/>
              <w:spacing w:after="0"/>
              <w:ind w:left="0" w:firstLine="0"/>
            </w:pPr>
            <w:r w:rsidRPr="00640AFF">
              <w:t xml:space="preserve">Право соціального забезпечення України : підручник / Пилипенко П. Д. та ін. ; за ред. П. Д. Пилипенка. 4-те вид., перероб. і </w:t>
            </w:r>
            <w:proofErr w:type="spellStart"/>
            <w:r w:rsidRPr="00640AFF">
              <w:t>допов</w:t>
            </w:r>
            <w:proofErr w:type="spellEnd"/>
            <w:r w:rsidRPr="00640AFF">
              <w:t>. Київ : Ін Юре, 2014. 476 с.</w:t>
            </w:r>
          </w:p>
          <w:p w14:paraId="0DD1219E" w14:textId="77777777" w:rsidR="00EF13C0" w:rsidRPr="001A4C05" w:rsidRDefault="00EF13C0" w:rsidP="00DA6ED9">
            <w:pPr>
              <w:pStyle w:val="1"/>
              <w:spacing w:after="0"/>
              <w:ind w:left="0" w:firstLine="0"/>
            </w:pPr>
            <w:r w:rsidRPr="001A4C05">
              <w:t xml:space="preserve">Аналіз практики застосування судами ст. 16 Цивільного кодексу України. </w:t>
            </w:r>
            <w:r w:rsidRPr="001A4C05">
              <w:lastRenderedPageBreak/>
              <w:t>Верховний Суд України – офіційний сайт. URL: http://www.scourt.gov.ua</w:t>
            </w:r>
            <w:r>
              <w:t>.</w:t>
            </w:r>
          </w:p>
          <w:p w14:paraId="6B80923E" w14:textId="64872E8D" w:rsidR="00010312" w:rsidRPr="00010312" w:rsidRDefault="00A81C2B" w:rsidP="00DA6ED9">
            <w:pPr>
              <w:pStyle w:val="1"/>
              <w:spacing w:after="0"/>
              <w:ind w:left="0" w:firstLine="0"/>
              <w:rPr>
                <w:sz w:val="24"/>
                <w:szCs w:val="24"/>
              </w:rPr>
            </w:pPr>
            <w:r>
              <w:rPr>
                <w:bCs/>
                <w:shd w:val="clear" w:color="auto" w:fill="FFFFFF"/>
              </w:rPr>
              <w:t>HUDOC</w:t>
            </w:r>
            <w:r w:rsidR="00D02E2B">
              <w:rPr>
                <w:bCs/>
                <w:shd w:val="clear" w:color="auto" w:fill="FFFFFF"/>
              </w:rPr>
              <w:t xml:space="preserve">, </w:t>
            </w:r>
            <w:r w:rsidR="00D02E2B" w:rsidRPr="00D02E2B">
              <w:rPr>
                <w:bCs/>
                <w:shd w:val="clear" w:color="auto" w:fill="FFFFFF"/>
              </w:rPr>
              <w:t>CASE OF GRANT v. THE UNITED KINGDOM</w:t>
            </w:r>
            <w:r w:rsidR="00D02E2B" w:rsidRPr="00D02E2B">
              <w:t xml:space="preserve"> </w:t>
            </w:r>
            <w:r w:rsidR="00D02E2B" w:rsidRPr="00D02E2B">
              <w:rPr>
                <w:i/>
                <w:iCs/>
                <w:shd w:val="clear" w:color="auto" w:fill="FFFFFF"/>
              </w:rPr>
              <w:t>(</w:t>
            </w:r>
            <w:proofErr w:type="spellStart"/>
            <w:r w:rsidR="00D02E2B" w:rsidRPr="00D02E2B">
              <w:rPr>
                <w:i/>
                <w:iCs/>
                <w:shd w:val="clear" w:color="auto" w:fill="FFFFFF"/>
              </w:rPr>
              <w:t>Application</w:t>
            </w:r>
            <w:proofErr w:type="spellEnd"/>
            <w:r w:rsidR="00D02E2B" w:rsidRPr="00D02E2B">
              <w:rPr>
                <w:i/>
                <w:iCs/>
                <w:shd w:val="clear" w:color="auto" w:fill="FFFFFF"/>
              </w:rPr>
              <w:t xml:space="preserve"> no. </w:t>
            </w:r>
            <w:hyperlink r:id="rId12" w:anchor="{%22appno%22:[%2232570/03%22]}" w:tgtFrame="_blank" w:history="1">
              <w:r w:rsidR="00D02E2B" w:rsidRPr="00D02E2B">
                <w:rPr>
                  <w:i/>
                  <w:iCs/>
                  <w:color w:val="0069D6"/>
                  <w:u w:val="single"/>
                  <w:shd w:val="clear" w:color="auto" w:fill="FFFFFF"/>
                </w:rPr>
                <w:t>32570/03</w:t>
              </w:r>
            </w:hyperlink>
            <w:r w:rsidR="00D02E2B" w:rsidRPr="00D02E2B">
              <w:rPr>
                <w:i/>
                <w:iCs/>
                <w:shd w:val="clear" w:color="auto" w:fill="FFFFFF"/>
              </w:rPr>
              <w:t>)</w:t>
            </w:r>
            <w:r w:rsidR="00821631">
              <w:t>,</w:t>
            </w:r>
            <w:r w:rsidR="00D02E2B" w:rsidRPr="00D02E2B">
              <w:t xml:space="preserve"> </w:t>
            </w:r>
            <w:r w:rsidR="00D02E2B" w:rsidRPr="00D02E2B">
              <w:rPr>
                <w:shd w:val="clear" w:color="auto" w:fill="FFFFFF"/>
              </w:rPr>
              <w:t xml:space="preserve">23 </w:t>
            </w:r>
            <w:proofErr w:type="spellStart"/>
            <w:r w:rsidR="00D02E2B" w:rsidRPr="00D02E2B">
              <w:rPr>
                <w:shd w:val="clear" w:color="auto" w:fill="FFFFFF"/>
              </w:rPr>
              <w:t>May</w:t>
            </w:r>
            <w:proofErr w:type="spellEnd"/>
            <w:r w:rsidR="00D02E2B" w:rsidRPr="00D02E2B">
              <w:rPr>
                <w:shd w:val="clear" w:color="auto" w:fill="FFFFFF"/>
              </w:rPr>
              <w:t xml:space="preserve"> 2006. URL:  </w:t>
            </w:r>
            <w:hyperlink r:id="rId13" w:history="1">
              <w:r w:rsidR="00D02E2B" w:rsidRPr="00D02E2B">
                <w:rPr>
                  <w:rStyle w:val="a4"/>
                  <w:lang w:val="en-US"/>
                </w:rPr>
                <w:t>https://bit.ly/2OTnYRe</w:t>
              </w:r>
            </w:hyperlink>
          </w:p>
          <w:p w14:paraId="16888D97" w14:textId="7073FFC4" w:rsidR="00821631" w:rsidRPr="00821631" w:rsidRDefault="00EC56D6" w:rsidP="00DA6ED9">
            <w:pPr>
              <w:pStyle w:val="1"/>
              <w:spacing w:after="0"/>
              <w:ind w:left="0" w:firstLine="0"/>
              <w:rPr>
                <w:sz w:val="24"/>
                <w:szCs w:val="24"/>
              </w:rPr>
            </w:pPr>
            <w:r w:rsidRPr="00010312">
              <w:t xml:space="preserve">HUDOC, </w:t>
            </w:r>
            <w:r w:rsidR="00010312" w:rsidRPr="00010312">
              <w:rPr>
                <w:bCs/>
                <w:shd w:val="clear" w:color="auto" w:fill="FFFFFF"/>
                <w:lang w:val="en-US" w:eastAsia="ru-RU"/>
              </w:rPr>
              <w:t>CASE OF FÁBIÁN v. HUNGARY</w:t>
            </w:r>
            <w:r w:rsidR="00821631">
              <w:rPr>
                <w:bCs/>
                <w:shd w:val="clear" w:color="auto" w:fill="FFFFFF"/>
                <w:lang w:val="en-US" w:eastAsia="ru-RU"/>
              </w:rPr>
              <w:t xml:space="preserve"> </w:t>
            </w:r>
            <w:r w:rsidR="00010312" w:rsidRPr="00010312">
              <w:rPr>
                <w:rStyle w:val="s6b621b36"/>
                <w:rFonts w:ascii="Arial" w:eastAsia="Times New Roman" w:hAnsi="Arial" w:cs="Arial"/>
                <w:i/>
                <w:iCs/>
                <w:color w:val="000000"/>
                <w:shd w:val="clear" w:color="auto" w:fill="FFFFFF"/>
              </w:rPr>
              <w:t>(</w:t>
            </w:r>
            <w:proofErr w:type="spellStart"/>
            <w:r w:rsidR="00821631" w:rsidRPr="00D02E2B">
              <w:rPr>
                <w:shd w:val="clear" w:color="auto" w:fill="FFFFFF"/>
              </w:rPr>
              <w:t>Application</w:t>
            </w:r>
            <w:proofErr w:type="spellEnd"/>
            <w:r w:rsidR="00821631" w:rsidRPr="00D02E2B">
              <w:rPr>
                <w:shd w:val="clear" w:color="auto" w:fill="FFFFFF"/>
              </w:rPr>
              <w:t xml:space="preserve"> no.</w:t>
            </w:r>
            <w:hyperlink r:id="rId14" w:anchor="{%22appno%22:[%2278117/13%22]}" w:tgtFrame="_blank" w:history="1">
              <w:r w:rsidR="00010312" w:rsidRPr="00010312">
                <w:rPr>
                  <w:rStyle w:val="a4"/>
                  <w:rFonts w:ascii="Arial" w:eastAsia="Times New Roman" w:hAnsi="Arial" w:cs="Arial"/>
                  <w:i/>
                  <w:iCs/>
                  <w:color w:val="0069D6"/>
                </w:rPr>
                <w:t>78117/13</w:t>
              </w:r>
            </w:hyperlink>
            <w:r w:rsidR="00010312" w:rsidRPr="00010312">
              <w:rPr>
                <w:rStyle w:val="s6b621b36"/>
                <w:rFonts w:ascii="Arial" w:eastAsia="Times New Roman" w:hAnsi="Arial" w:cs="Arial"/>
                <w:i/>
                <w:iCs/>
                <w:color w:val="000000"/>
                <w:shd w:val="clear" w:color="auto" w:fill="FFFFFF"/>
              </w:rPr>
              <w:t>)</w:t>
            </w:r>
            <w:r w:rsidR="00010312" w:rsidRPr="00010312">
              <w:rPr>
                <w:rStyle w:val="s6b621b36"/>
                <w:rFonts w:ascii="Arial" w:hAnsi="Arial" w:cs="Arial"/>
                <w:i/>
                <w:iCs/>
                <w:shd w:val="clear" w:color="auto" w:fill="FFFFFF"/>
              </w:rPr>
              <w:t xml:space="preserve">, </w:t>
            </w:r>
            <w:r w:rsidR="00010312" w:rsidRPr="00010312">
              <w:rPr>
                <w:shd w:val="clear" w:color="auto" w:fill="FFFFFF"/>
                <w:lang w:val="en-US" w:eastAsia="ru-RU"/>
              </w:rPr>
              <w:t>5 September 2017</w:t>
            </w:r>
            <w:r w:rsidRPr="00010312">
              <w:rPr>
                <w:lang w:val="en-US"/>
              </w:rPr>
              <w:t>, URL:</w:t>
            </w:r>
            <w:r w:rsidR="00010312">
              <w:rPr>
                <w:lang w:val="en-US"/>
              </w:rPr>
              <w:t xml:space="preserve"> </w:t>
            </w:r>
            <w:r w:rsidRPr="00010312">
              <w:rPr>
                <w:lang w:val="en-US"/>
              </w:rPr>
              <w:t xml:space="preserve"> </w:t>
            </w:r>
            <w:hyperlink r:id="rId15" w:history="1">
              <w:r w:rsidR="00010312" w:rsidRPr="00010312">
                <w:rPr>
                  <w:rStyle w:val="a4"/>
                </w:rPr>
                <w:t>https://bit.ly/3lLwais</w:t>
              </w:r>
            </w:hyperlink>
            <w:r w:rsidR="00010312" w:rsidRPr="00010312">
              <w:t xml:space="preserve"> </w:t>
            </w:r>
          </w:p>
          <w:p w14:paraId="04C180D7" w14:textId="77777777" w:rsidR="008F0115" w:rsidRDefault="008579ED" w:rsidP="00DA6ED9">
            <w:pPr>
              <w:pStyle w:val="1"/>
              <w:spacing w:after="0"/>
              <w:ind w:left="0" w:firstLine="0"/>
              <w:rPr>
                <w:sz w:val="24"/>
                <w:szCs w:val="24"/>
              </w:rPr>
            </w:pPr>
            <w:r w:rsidRPr="00821631">
              <w:t xml:space="preserve">HUDOC, </w:t>
            </w:r>
            <w:r w:rsidRPr="00821631">
              <w:rPr>
                <w:shd w:val="clear" w:color="auto" w:fill="FFFFFF"/>
                <w:lang w:val="en-US" w:eastAsia="ru-RU"/>
              </w:rPr>
              <w:t>MOCKIEN</w:t>
            </w:r>
            <w:r w:rsidRPr="00821631">
              <w:rPr>
                <w:shd w:val="clear" w:color="auto" w:fill="FFFFFF"/>
                <w:lang w:eastAsia="ru-RU"/>
              </w:rPr>
              <w:t>Ė</w:t>
            </w:r>
            <w:r w:rsidRPr="00821631">
              <w:rPr>
                <w:lang w:eastAsia="ru-RU"/>
              </w:rPr>
              <w:t xml:space="preserve"> </w:t>
            </w:r>
            <w:r w:rsidRPr="00821631">
              <w:rPr>
                <w:lang w:val="en-US" w:eastAsia="ru-RU"/>
              </w:rPr>
              <w:t>v</w:t>
            </w:r>
            <w:r w:rsidRPr="00821631">
              <w:rPr>
                <w:lang w:eastAsia="ru-RU"/>
              </w:rPr>
              <w:t xml:space="preserve">. </w:t>
            </w:r>
            <w:r w:rsidRPr="00821631">
              <w:rPr>
                <w:shd w:val="clear" w:color="auto" w:fill="FFFFFF"/>
                <w:lang w:val="en-US" w:eastAsia="ru-RU"/>
              </w:rPr>
              <w:t xml:space="preserve">Lithuania, </w:t>
            </w:r>
            <w:r w:rsidRPr="00821631">
              <w:rPr>
                <w:shd w:val="clear" w:color="auto" w:fill="FFFFFF"/>
                <w:lang w:eastAsia="ru-RU"/>
              </w:rPr>
              <w:t>(</w:t>
            </w:r>
            <w:proofErr w:type="spellStart"/>
            <w:r w:rsidRPr="00821631">
              <w:rPr>
                <w:rStyle w:val="s6b621b36"/>
                <w:rFonts w:eastAsia="Times New Roman"/>
                <w:i/>
                <w:iCs/>
                <w:color w:val="000000"/>
                <w:shd w:val="clear" w:color="auto" w:fill="FFFFFF"/>
              </w:rPr>
              <w:t>Application</w:t>
            </w:r>
            <w:proofErr w:type="spellEnd"/>
            <w:r w:rsidRPr="00821631">
              <w:rPr>
                <w:rStyle w:val="s6b621b36"/>
                <w:rFonts w:eastAsia="Times New Roman"/>
                <w:i/>
                <w:iCs/>
                <w:color w:val="000000"/>
                <w:shd w:val="clear" w:color="auto" w:fill="FFFFFF"/>
              </w:rPr>
              <w:t xml:space="preserve"> no. </w:t>
            </w:r>
            <w:hyperlink r:id="rId16" w:anchor="{%22appno%22:[%2275916/13%22]}" w:tgtFrame="_blank" w:history="1">
              <w:r w:rsidRPr="00821631">
                <w:rPr>
                  <w:rStyle w:val="a4"/>
                  <w:rFonts w:eastAsia="Times New Roman"/>
                  <w:color w:val="0069D6"/>
                </w:rPr>
                <w:t>75916/13</w:t>
              </w:r>
            </w:hyperlink>
            <w:r w:rsidRPr="00821631">
              <w:rPr>
                <w:rStyle w:val="sb8d990e2"/>
                <w:shd w:val="clear" w:color="auto" w:fill="FFFFFF"/>
              </w:rPr>
              <w:t xml:space="preserve">), </w:t>
            </w:r>
            <w:r w:rsidRPr="00821631">
              <w:rPr>
                <w:shd w:val="clear" w:color="auto" w:fill="FFFFFF"/>
                <w:lang w:val="en-US" w:eastAsia="ru-RU"/>
              </w:rPr>
              <w:t>4 July 2017</w:t>
            </w:r>
            <w:r w:rsidR="00821631">
              <w:rPr>
                <w:shd w:val="clear" w:color="auto" w:fill="FFFFFF"/>
              </w:rPr>
              <w:t xml:space="preserve">, </w:t>
            </w:r>
            <w:r w:rsidRPr="00821631">
              <w:rPr>
                <w:shd w:val="clear" w:color="auto" w:fill="FFFFFF"/>
              </w:rPr>
              <w:t xml:space="preserve">URL: </w:t>
            </w:r>
            <w:hyperlink r:id="rId17" w:history="1">
              <w:r w:rsidR="00821631" w:rsidRPr="00821631">
                <w:rPr>
                  <w:rStyle w:val="a4"/>
                  <w:shd w:val="clear" w:color="auto" w:fill="FFFFFF"/>
                </w:rPr>
                <w:t>https://bit.ly/396CRqc</w:t>
              </w:r>
            </w:hyperlink>
            <w:r w:rsidR="00821631" w:rsidRPr="00821631">
              <w:rPr>
                <w:shd w:val="clear" w:color="auto" w:fill="FFFFFF"/>
              </w:rPr>
              <w:t xml:space="preserve"> </w:t>
            </w:r>
          </w:p>
          <w:p w14:paraId="795C776B" w14:textId="0E786E95" w:rsidR="00CF2B33" w:rsidRPr="008F0115" w:rsidRDefault="00CF2B33" w:rsidP="00DA6ED9">
            <w:pPr>
              <w:pStyle w:val="1"/>
              <w:spacing w:after="0"/>
              <w:ind w:left="0" w:firstLine="0"/>
              <w:rPr>
                <w:sz w:val="24"/>
                <w:szCs w:val="24"/>
              </w:rPr>
            </w:pPr>
            <w:r w:rsidRPr="008F0115">
              <w:rPr>
                <w:color w:val="000000"/>
              </w:rPr>
              <w:t xml:space="preserve">HIGH COURT OF JUSTICE, </w:t>
            </w:r>
            <w:r w:rsidRPr="00CF2B33">
              <w:t>PAUL HUGHES AND OTHERS</w:t>
            </w:r>
            <w:r>
              <w:t xml:space="preserve"> v. </w:t>
            </w:r>
            <w:r w:rsidRPr="00CF2B33">
              <w:t>THE BOARD OF THE PENSION PROTECTION FUND</w:t>
            </w:r>
            <w:r>
              <w:t xml:space="preserve">, </w:t>
            </w:r>
            <w:r w:rsidRPr="00CF2B33">
              <w:t>Case No: CO/571/2019</w:t>
            </w:r>
            <w:r>
              <w:t xml:space="preserve">, </w:t>
            </w:r>
            <w:r w:rsidRPr="00CF2B33">
              <w:t>Date: 22nd June 2020</w:t>
            </w:r>
            <w:r>
              <w:t xml:space="preserve">, URL: </w:t>
            </w:r>
            <w:hyperlink r:id="rId18" w:history="1">
              <w:r w:rsidRPr="00B6660A">
                <w:rPr>
                  <w:rStyle w:val="a4"/>
                </w:rPr>
                <w:t>https://bit.ly/399xmHj</w:t>
              </w:r>
            </w:hyperlink>
            <w:r w:rsidRPr="008F0115">
              <w:rPr>
                <w:color w:val="000000"/>
              </w:rPr>
              <w:t xml:space="preserve"> </w:t>
            </w:r>
            <w:r w:rsidR="001A6AD0" w:rsidRPr="008F0115">
              <w:rPr>
                <w:color w:val="000000"/>
              </w:rPr>
              <w:t xml:space="preserve"> </w:t>
            </w:r>
          </w:p>
          <w:p w14:paraId="2174572D" w14:textId="77777777" w:rsidR="009E5073" w:rsidRPr="004A6CE0" w:rsidRDefault="009E5073" w:rsidP="00DA6ED9">
            <w:pPr>
              <w:pStyle w:val="1"/>
              <w:numPr>
                <w:ilvl w:val="0"/>
                <w:numId w:val="0"/>
              </w:numPr>
              <w:ind w:left="360"/>
            </w:pPr>
          </w:p>
        </w:tc>
      </w:tr>
      <w:tr w:rsidR="009E5073" w:rsidRPr="004A6CE0" w14:paraId="77CBBDB7"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69AEFD1E" w14:textId="77777777" w:rsidR="009E5073" w:rsidRPr="004A6CE0" w:rsidRDefault="009E5073" w:rsidP="001A6AD0">
            <w:pPr>
              <w:jc w:val="both"/>
              <w:rPr>
                <w:b/>
                <w:lang w:val="uk-UA"/>
              </w:rPr>
            </w:pPr>
            <w:r w:rsidRPr="004A6CE0">
              <w:rPr>
                <w:b/>
                <w:lang w:val="uk-UA"/>
              </w:rPr>
              <w:lastRenderedPageBreak/>
              <w:t>Тривалість курсу</w:t>
            </w:r>
          </w:p>
        </w:tc>
        <w:tc>
          <w:tcPr>
            <w:tcW w:w="7624" w:type="dxa"/>
            <w:tcBorders>
              <w:top w:val="single" w:sz="4" w:space="0" w:color="000000"/>
              <w:left w:val="single" w:sz="4" w:space="0" w:color="000000"/>
              <w:bottom w:val="single" w:sz="4" w:space="0" w:color="000000"/>
              <w:right w:val="single" w:sz="4" w:space="0" w:color="000000"/>
            </w:tcBorders>
          </w:tcPr>
          <w:p w14:paraId="762EADBA" w14:textId="063BEA12" w:rsidR="009E5073" w:rsidRPr="00DA6ED9" w:rsidRDefault="00DA6ED9" w:rsidP="001A6AD0">
            <w:pPr>
              <w:jc w:val="both"/>
              <w:rPr>
                <w:sz w:val="20"/>
                <w:szCs w:val="20"/>
                <w:lang w:val="uk-UA"/>
              </w:rPr>
            </w:pPr>
            <w:r w:rsidRPr="00DA6ED9">
              <w:rPr>
                <w:sz w:val="20"/>
                <w:szCs w:val="20"/>
                <w:lang w:val="uk-UA"/>
              </w:rPr>
              <w:t>120</w:t>
            </w:r>
            <w:r w:rsidR="009E5073" w:rsidRPr="00DA6ED9">
              <w:rPr>
                <w:sz w:val="20"/>
                <w:szCs w:val="20"/>
                <w:lang w:val="uk-UA"/>
              </w:rPr>
              <w:t xml:space="preserve">  год.</w:t>
            </w:r>
          </w:p>
        </w:tc>
      </w:tr>
      <w:tr w:rsidR="009E5073" w:rsidRPr="004A6CE0" w14:paraId="30AA7E9D"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5E3A0D24" w14:textId="77777777" w:rsidR="009E5073" w:rsidRPr="004A6CE0" w:rsidRDefault="009E5073" w:rsidP="001A6AD0">
            <w:pPr>
              <w:jc w:val="both"/>
              <w:rPr>
                <w:b/>
                <w:lang w:val="uk-UA"/>
              </w:rPr>
            </w:pPr>
            <w:r w:rsidRPr="004A6CE0">
              <w:rPr>
                <w:b/>
                <w:lang w:val="uk-UA"/>
              </w:rPr>
              <w:t>Обсяг курсу</w:t>
            </w:r>
          </w:p>
        </w:tc>
        <w:tc>
          <w:tcPr>
            <w:tcW w:w="7624" w:type="dxa"/>
            <w:tcBorders>
              <w:top w:val="single" w:sz="4" w:space="0" w:color="000000"/>
              <w:left w:val="single" w:sz="4" w:space="0" w:color="000000"/>
              <w:bottom w:val="single" w:sz="4" w:space="0" w:color="000000"/>
              <w:right w:val="single" w:sz="4" w:space="0" w:color="000000"/>
            </w:tcBorders>
          </w:tcPr>
          <w:p w14:paraId="7416FB10" w14:textId="3BEA2E68" w:rsidR="009E5073" w:rsidRPr="00DA6ED9" w:rsidRDefault="00DA6ED9" w:rsidP="00DA6ED9">
            <w:pPr>
              <w:jc w:val="both"/>
              <w:rPr>
                <w:sz w:val="20"/>
                <w:szCs w:val="20"/>
                <w:lang w:val="uk-UA"/>
              </w:rPr>
            </w:pPr>
            <w:r w:rsidRPr="00DA6ED9">
              <w:rPr>
                <w:sz w:val="20"/>
                <w:szCs w:val="20"/>
                <w:lang w:val="uk-UA"/>
              </w:rPr>
              <w:t>32</w:t>
            </w:r>
            <w:r w:rsidR="009E5073" w:rsidRPr="00DA6ED9">
              <w:rPr>
                <w:b/>
                <w:sz w:val="20"/>
                <w:szCs w:val="20"/>
                <w:lang w:val="uk-UA"/>
              </w:rPr>
              <w:t xml:space="preserve"> </w:t>
            </w:r>
            <w:r w:rsidR="009E5073" w:rsidRPr="00DA6ED9">
              <w:rPr>
                <w:sz w:val="20"/>
                <w:szCs w:val="20"/>
                <w:lang w:val="uk-UA"/>
              </w:rPr>
              <w:t xml:space="preserve">годин аудиторних занять. З них </w:t>
            </w:r>
            <w:r w:rsidRPr="00DA6ED9">
              <w:rPr>
                <w:sz w:val="20"/>
                <w:szCs w:val="20"/>
                <w:lang w:val="uk-UA"/>
              </w:rPr>
              <w:t>16</w:t>
            </w:r>
            <w:r w:rsidR="009E5073" w:rsidRPr="00DA6ED9">
              <w:rPr>
                <w:sz w:val="20"/>
                <w:szCs w:val="20"/>
                <w:lang w:val="uk-UA"/>
              </w:rPr>
              <w:t xml:space="preserve"> годин лекцій, </w:t>
            </w:r>
            <w:r w:rsidRPr="00DA6ED9">
              <w:rPr>
                <w:sz w:val="20"/>
                <w:szCs w:val="20"/>
                <w:lang w:val="uk-UA"/>
              </w:rPr>
              <w:t>16</w:t>
            </w:r>
            <w:r w:rsidR="009E5073" w:rsidRPr="00DA6ED9">
              <w:rPr>
                <w:sz w:val="20"/>
                <w:szCs w:val="20"/>
                <w:lang w:val="uk-UA"/>
              </w:rPr>
              <w:t xml:space="preserve"> годин лабораторних робіт/практичних занять та </w:t>
            </w:r>
            <w:r w:rsidRPr="00DA6ED9">
              <w:rPr>
                <w:sz w:val="20"/>
                <w:szCs w:val="20"/>
                <w:lang w:val="uk-UA"/>
              </w:rPr>
              <w:t>88</w:t>
            </w:r>
            <w:r w:rsidR="009E5073" w:rsidRPr="00DA6ED9">
              <w:rPr>
                <w:sz w:val="20"/>
                <w:szCs w:val="20"/>
                <w:lang w:val="uk-UA"/>
              </w:rPr>
              <w:t xml:space="preserve"> годин самостійної роботи</w:t>
            </w:r>
          </w:p>
        </w:tc>
      </w:tr>
      <w:tr w:rsidR="009E5073" w:rsidRPr="004A6CE0" w14:paraId="4DACD158"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17C812CC" w14:textId="77777777" w:rsidR="009E5073" w:rsidRPr="004A6CE0" w:rsidRDefault="009E5073" w:rsidP="001A6AD0">
            <w:pPr>
              <w:jc w:val="both"/>
              <w:rPr>
                <w:b/>
                <w:lang w:val="uk-UA"/>
              </w:rPr>
            </w:pPr>
            <w:r w:rsidRPr="004A6CE0">
              <w:rPr>
                <w:b/>
                <w:lang w:val="uk-UA"/>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14:paraId="7185D3B4" w14:textId="77777777" w:rsidR="009E5073" w:rsidRPr="00DA6ED9" w:rsidRDefault="009E5073" w:rsidP="001A6AD0">
            <w:pPr>
              <w:jc w:val="both"/>
              <w:rPr>
                <w:sz w:val="20"/>
                <w:szCs w:val="20"/>
                <w:lang w:val="uk-UA"/>
              </w:rPr>
            </w:pPr>
            <w:r w:rsidRPr="00DA6ED9">
              <w:rPr>
                <w:sz w:val="20"/>
                <w:szCs w:val="20"/>
                <w:lang w:val="uk-UA"/>
              </w:rPr>
              <w:t xml:space="preserve">Після завершення цього курсу студент буде : </w:t>
            </w:r>
          </w:p>
          <w:p w14:paraId="3617980D" w14:textId="6286983F" w:rsidR="009E5073" w:rsidRPr="00DA6ED9" w:rsidRDefault="00DA6ED9" w:rsidP="00DA6ED9">
            <w:pPr>
              <w:jc w:val="both"/>
              <w:rPr>
                <w:b/>
                <w:sz w:val="20"/>
                <w:szCs w:val="20"/>
                <w:lang w:val="uk-UA"/>
              </w:rPr>
            </w:pPr>
            <w:r w:rsidRPr="00DA6ED9">
              <w:rPr>
                <w:b/>
                <w:sz w:val="20"/>
                <w:szCs w:val="20"/>
                <w:lang w:val="uk-UA"/>
              </w:rPr>
              <w:t>Знати:</w:t>
            </w:r>
          </w:p>
          <w:p w14:paraId="771114E8" w14:textId="1B914234" w:rsidR="0062092B" w:rsidRPr="00DA6ED9" w:rsidRDefault="0062092B" w:rsidP="001A6AD0">
            <w:pPr>
              <w:numPr>
                <w:ilvl w:val="0"/>
                <w:numId w:val="1"/>
              </w:numPr>
              <w:ind w:left="0" w:firstLine="0"/>
              <w:jc w:val="both"/>
              <w:rPr>
                <w:sz w:val="20"/>
                <w:szCs w:val="20"/>
                <w:lang w:val="uk-UA"/>
              </w:rPr>
            </w:pPr>
            <w:r w:rsidRPr="00DA6ED9">
              <w:rPr>
                <w:sz w:val="20"/>
                <w:szCs w:val="20"/>
                <w:lang w:val="uk-UA"/>
              </w:rPr>
              <w:t>законодавство про пенсійне забезпечення</w:t>
            </w:r>
            <w:r w:rsidR="004E222E" w:rsidRPr="00DA6ED9">
              <w:rPr>
                <w:sz w:val="20"/>
                <w:szCs w:val="20"/>
                <w:lang w:val="uk-UA"/>
              </w:rPr>
              <w:t>, правові позиції Європейського суду з прав людини, рішення Конституційного суду України, правові позиції  Верховного суду, які застосовуються під час судового захисту пенсійних прав громадян.</w:t>
            </w:r>
          </w:p>
          <w:p w14:paraId="6543E906" w14:textId="77777777" w:rsidR="0062092B" w:rsidRPr="00DA6ED9" w:rsidRDefault="0062092B" w:rsidP="00DA6ED9">
            <w:pPr>
              <w:jc w:val="both"/>
              <w:rPr>
                <w:sz w:val="20"/>
                <w:szCs w:val="20"/>
                <w:lang w:val="uk-UA"/>
              </w:rPr>
            </w:pPr>
          </w:p>
          <w:p w14:paraId="423107B5" w14:textId="77777777" w:rsidR="009E5073" w:rsidRPr="00DA6ED9" w:rsidRDefault="009E5073" w:rsidP="00DA6ED9">
            <w:pPr>
              <w:jc w:val="both"/>
              <w:rPr>
                <w:b/>
                <w:sz w:val="20"/>
                <w:szCs w:val="20"/>
                <w:lang w:val="uk-UA"/>
              </w:rPr>
            </w:pPr>
            <w:r w:rsidRPr="00DA6ED9">
              <w:rPr>
                <w:b/>
                <w:sz w:val="20"/>
                <w:szCs w:val="20"/>
                <w:lang w:val="uk-UA"/>
              </w:rPr>
              <w:t xml:space="preserve">Вміти </w:t>
            </w:r>
          </w:p>
          <w:p w14:paraId="08FE8CDE" w14:textId="77777777" w:rsidR="0087411F" w:rsidRPr="00DA6ED9" w:rsidRDefault="0087411F" w:rsidP="001A6AD0">
            <w:pPr>
              <w:jc w:val="both"/>
              <w:rPr>
                <w:sz w:val="20"/>
                <w:szCs w:val="20"/>
                <w:lang w:val="uk-UA"/>
              </w:rPr>
            </w:pPr>
            <w:r w:rsidRPr="00DA6ED9">
              <w:rPr>
                <w:b/>
                <w:sz w:val="20"/>
                <w:szCs w:val="20"/>
                <w:lang w:val="uk-UA"/>
              </w:rPr>
              <w:t>-</w:t>
            </w:r>
            <w:r w:rsidRPr="00DA6ED9">
              <w:rPr>
                <w:sz w:val="20"/>
                <w:szCs w:val="20"/>
                <w:lang w:val="uk-UA"/>
              </w:rPr>
              <w:t xml:space="preserve">обґрунтовувати та мотивувати правові рішення у сфері реалізації права громадян України на пенсійне забезпечення, давати розгорнуту юридичну аргументацію, базуючись на стандартах, визначених Європейським судом з прав людини та </w:t>
            </w:r>
            <w:r w:rsidRPr="00DA6ED9">
              <w:rPr>
                <w:bCs/>
                <w:sz w:val="20"/>
                <w:szCs w:val="20"/>
                <w:lang w:val="uk-UA"/>
              </w:rPr>
              <w:t>Конституційним судом України.</w:t>
            </w:r>
          </w:p>
          <w:p w14:paraId="286ED09B" w14:textId="77777777" w:rsidR="0087411F" w:rsidRPr="00DA6ED9" w:rsidRDefault="0087411F" w:rsidP="001A6AD0">
            <w:pPr>
              <w:jc w:val="both"/>
              <w:rPr>
                <w:sz w:val="20"/>
                <w:szCs w:val="20"/>
                <w:lang w:val="uk-UA"/>
              </w:rPr>
            </w:pPr>
            <w:r w:rsidRPr="00DA6ED9">
              <w:rPr>
                <w:sz w:val="20"/>
                <w:szCs w:val="20"/>
                <w:lang w:val="uk-UA"/>
              </w:rPr>
              <w:t>-застосовувати знання та розуміння основних засад (принципів) та процедур адміністративного/цивільного судочинства в Україні у механізмі захисту пенсійних прав громадян. </w:t>
            </w:r>
          </w:p>
          <w:p w14:paraId="3E458760" w14:textId="77777777" w:rsidR="0087411F" w:rsidRPr="00DA6ED9" w:rsidRDefault="0087411F" w:rsidP="001A6AD0">
            <w:pPr>
              <w:jc w:val="both"/>
              <w:rPr>
                <w:sz w:val="20"/>
                <w:szCs w:val="20"/>
                <w:lang w:val="uk-UA"/>
              </w:rPr>
            </w:pPr>
            <w:r w:rsidRPr="00DA6ED9">
              <w:rPr>
                <w:sz w:val="20"/>
                <w:szCs w:val="20"/>
                <w:lang w:val="uk-UA"/>
              </w:rPr>
              <w:t>-застосовувати міждисциплінарний підхід в оцінці пенсійних юридичних фактів та правозастосовній діяльності у сфері реалізації пенсійних прав. </w:t>
            </w:r>
          </w:p>
          <w:p w14:paraId="0C674924" w14:textId="77777777" w:rsidR="0087411F" w:rsidRPr="00DA6ED9" w:rsidRDefault="0087411F" w:rsidP="001A6AD0">
            <w:pPr>
              <w:jc w:val="both"/>
              <w:rPr>
                <w:sz w:val="20"/>
                <w:szCs w:val="20"/>
                <w:lang w:val="uk-UA"/>
              </w:rPr>
            </w:pPr>
            <w:r w:rsidRPr="00DA6ED9">
              <w:rPr>
                <w:sz w:val="20"/>
                <w:szCs w:val="20"/>
                <w:lang w:val="uk-UA"/>
              </w:rPr>
              <w:t>-критично оцінювати ефективність представництва  і захисту прав, свобод та інтересів клієнтів на підставі  аналізу судової практики у сфері  реалізації прав громадян у сфері пенсійного забезпечення.</w:t>
            </w:r>
          </w:p>
          <w:p w14:paraId="716DA6B1" w14:textId="77777777" w:rsidR="0087411F" w:rsidRPr="00DA6ED9" w:rsidRDefault="0087411F" w:rsidP="001A6AD0">
            <w:pPr>
              <w:jc w:val="both"/>
              <w:rPr>
                <w:sz w:val="20"/>
                <w:szCs w:val="20"/>
                <w:lang w:val="uk-UA"/>
              </w:rPr>
            </w:pPr>
            <w:r w:rsidRPr="00DA6ED9">
              <w:rPr>
                <w:sz w:val="20"/>
                <w:szCs w:val="20"/>
                <w:lang w:val="uk-UA"/>
              </w:rPr>
              <w:t>-самостійно готувати проекти актів правозастосування, застосовуючи пенсійне законодавство, враховуючи вимоги щодо їх законності, обґрунтованості та вмотивованості. </w:t>
            </w:r>
          </w:p>
          <w:p w14:paraId="16A0D27C" w14:textId="77777777" w:rsidR="0087411F" w:rsidRPr="00DA6ED9" w:rsidRDefault="0087411F" w:rsidP="001A6AD0">
            <w:pPr>
              <w:jc w:val="both"/>
              <w:rPr>
                <w:sz w:val="20"/>
                <w:szCs w:val="20"/>
                <w:lang w:val="uk-UA"/>
              </w:rPr>
            </w:pPr>
            <w:r w:rsidRPr="00DA6ED9">
              <w:rPr>
                <w:sz w:val="20"/>
                <w:szCs w:val="20"/>
                <w:lang w:val="uk-UA"/>
              </w:rPr>
              <w:t>-формулювати свою правову позицію щодо підтвердження юридичних фактів, вміти опонувати представникам Пенсійного фонду України, оцінювати докази та наводити переконливі аргументи під час представництва громадян.</w:t>
            </w:r>
          </w:p>
          <w:p w14:paraId="32B78E07" w14:textId="77777777" w:rsidR="0087411F" w:rsidRPr="00DA6ED9" w:rsidRDefault="0087411F" w:rsidP="001A6AD0">
            <w:pPr>
              <w:jc w:val="both"/>
              <w:rPr>
                <w:sz w:val="20"/>
                <w:szCs w:val="20"/>
                <w:lang w:val="uk-UA"/>
              </w:rPr>
            </w:pPr>
            <w:r w:rsidRPr="00DA6ED9">
              <w:rPr>
                <w:sz w:val="20"/>
                <w:szCs w:val="20"/>
                <w:lang w:val="uk-UA"/>
              </w:rPr>
              <w:t>- проводити порівняльно-правовий аналіз законодавства про пенсійне забезпечення різних держав задля підтвердження права громадян України – трудових мігрантів на пенсійне забезпечення, враховуючи взаємозв’язок правової системи України з правовими системами Ради Європи та Європейського Союзу. </w:t>
            </w:r>
          </w:p>
          <w:p w14:paraId="46D0781C" w14:textId="77777777" w:rsidR="0087411F" w:rsidRPr="00DA6ED9" w:rsidRDefault="0087411F" w:rsidP="001A6AD0">
            <w:pPr>
              <w:jc w:val="both"/>
              <w:rPr>
                <w:sz w:val="20"/>
                <w:szCs w:val="20"/>
                <w:lang w:val="uk-UA"/>
              </w:rPr>
            </w:pPr>
            <w:r w:rsidRPr="00DA6ED9">
              <w:rPr>
                <w:sz w:val="20"/>
                <w:szCs w:val="20"/>
                <w:lang w:val="uk-UA"/>
              </w:rPr>
              <w:t>-аналізувати та оцінювати практику застосування законодавства про пенсійне забезпечення. </w:t>
            </w:r>
          </w:p>
          <w:p w14:paraId="469CB4A5" w14:textId="77777777" w:rsidR="0087411F" w:rsidRPr="00DA6ED9" w:rsidRDefault="0087411F" w:rsidP="001A6AD0">
            <w:pPr>
              <w:jc w:val="both"/>
              <w:rPr>
                <w:sz w:val="20"/>
                <w:szCs w:val="20"/>
                <w:lang w:val="uk-UA"/>
              </w:rPr>
            </w:pPr>
            <w:r w:rsidRPr="00DA6ED9">
              <w:rPr>
                <w:sz w:val="20"/>
                <w:szCs w:val="20"/>
                <w:lang w:val="uk-UA"/>
              </w:rPr>
              <w:t>- обґрунтовувати правову позицію на різних стадіях правозастосування пенсійного законодавства. </w:t>
            </w:r>
          </w:p>
          <w:p w14:paraId="04CAFC0E" w14:textId="77777777" w:rsidR="0087411F" w:rsidRPr="00DA6ED9" w:rsidRDefault="0087411F" w:rsidP="001A6AD0">
            <w:pPr>
              <w:jc w:val="both"/>
              <w:rPr>
                <w:sz w:val="20"/>
                <w:szCs w:val="20"/>
                <w:lang w:val="uk-UA"/>
              </w:rPr>
            </w:pPr>
            <w:r w:rsidRPr="00DA6ED9">
              <w:rPr>
                <w:sz w:val="20"/>
                <w:szCs w:val="20"/>
                <w:lang w:val="uk-UA"/>
              </w:rPr>
              <w:t>-розв’язувати проблеми, пов’язані з реалізацією процесуальних функцій громадян, Пенсійного фонду України та роботодавців.</w:t>
            </w:r>
          </w:p>
          <w:p w14:paraId="6E01948D" w14:textId="51754B0A" w:rsidR="009E5073" w:rsidRPr="00DA6ED9" w:rsidRDefault="0087411F" w:rsidP="001A6AD0">
            <w:pPr>
              <w:jc w:val="both"/>
              <w:rPr>
                <w:sz w:val="20"/>
                <w:szCs w:val="20"/>
                <w:lang w:val="uk-UA"/>
              </w:rPr>
            </w:pPr>
            <w:r w:rsidRPr="00DA6ED9">
              <w:rPr>
                <w:sz w:val="20"/>
                <w:szCs w:val="20"/>
                <w:lang w:val="uk-UA"/>
              </w:rPr>
              <w:t xml:space="preserve">-розв’язувати складні задачі правозастосування у сфері захисту пенсійних прав громадян. </w:t>
            </w:r>
          </w:p>
        </w:tc>
      </w:tr>
      <w:tr w:rsidR="009E5073" w:rsidRPr="004A6CE0" w14:paraId="1D04526E"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79E7FB00" w14:textId="77777777" w:rsidR="009E5073" w:rsidRPr="004A6CE0" w:rsidRDefault="009E5073" w:rsidP="001A6AD0">
            <w:pPr>
              <w:jc w:val="both"/>
              <w:rPr>
                <w:b/>
                <w:lang w:val="uk-UA"/>
              </w:rPr>
            </w:pPr>
            <w:r w:rsidRPr="004A6CE0">
              <w:rPr>
                <w:b/>
                <w:lang w:val="uk-UA"/>
              </w:rPr>
              <w:t>Ключові слова</w:t>
            </w:r>
          </w:p>
        </w:tc>
        <w:tc>
          <w:tcPr>
            <w:tcW w:w="7624" w:type="dxa"/>
            <w:tcBorders>
              <w:top w:val="single" w:sz="4" w:space="0" w:color="000000"/>
              <w:left w:val="single" w:sz="4" w:space="0" w:color="000000"/>
              <w:bottom w:val="single" w:sz="4" w:space="0" w:color="000000"/>
              <w:right w:val="single" w:sz="4" w:space="0" w:color="000000"/>
            </w:tcBorders>
          </w:tcPr>
          <w:p w14:paraId="53952DA1" w14:textId="46A26BEE" w:rsidR="009E5073" w:rsidRPr="00DA6ED9" w:rsidRDefault="00B90AA7" w:rsidP="001A6AD0">
            <w:pPr>
              <w:jc w:val="both"/>
              <w:rPr>
                <w:sz w:val="20"/>
                <w:szCs w:val="20"/>
                <w:lang w:val="uk-UA"/>
              </w:rPr>
            </w:pPr>
            <w:r w:rsidRPr="00DA6ED9">
              <w:rPr>
                <w:sz w:val="20"/>
                <w:szCs w:val="20"/>
                <w:lang w:val="uk-UA"/>
              </w:rPr>
              <w:t>Пенсійне забезпечення, зобов’язати Пенсійний фонд</w:t>
            </w:r>
          </w:p>
        </w:tc>
      </w:tr>
      <w:tr w:rsidR="009E5073" w:rsidRPr="004A6CE0" w14:paraId="3F04B9CF"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49DB10BD" w14:textId="77777777" w:rsidR="009E5073" w:rsidRPr="004A6CE0" w:rsidRDefault="009E5073" w:rsidP="001A6AD0">
            <w:pPr>
              <w:jc w:val="both"/>
              <w:rPr>
                <w:b/>
              </w:rPr>
            </w:pPr>
            <w:r w:rsidRPr="004A6CE0">
              <w:rPr>
                <w:b/>
              </w:rPr>
              <w:t>Формат курсу</w:t>
            </w:r>
          </w:p>
        </w:tc>
        <w:tc>
          <w:tcPr>
            <w:tcW w:w="7624" w:type="dxa"/>
            <w:tcBorders>
              <w:top w:val="single" w:sz="4" w:space="0" w:color="000000"/>
              <w:left w:val="single" w:sz="4" w:space="0" w:color="000000"/>
              <w:bottom w:val="single" w:sz="4" w:space="0" w:color="000000"/>
              <w:right w:val="single" w:sz="4" w:space="0" w:color="000000"/>
            </w:tcBorders>
          </w:tcPr>
          <w:p w14:paraId="741E0723" w14:textId="77777777" w:rsidR="009E5073" w:rsidRPr="00DA6ED9" w:rsidRDefault="009E5073" w:rsidP="001A6AD0">
            <w:pPr>
              <w:jc w:val="both"/>
              <w:rPr>
                <w:sz w:val="20"/>
                <w:szCs w:val="20"/>
                <w:lang w:val="uk-UA"/>
              </w:rPr>
            </w:pPr>
            <w:r w:rsidRPr="00DA6ED9">
              <w:rPr>
                <w:sz w:val="20"/>
                <w:szCs w:val="20"/>
                <w:lang w:val="uk-UA"/>
              </w:rPr>
              <w:t xml:space="preserve">Очний /заочний </w:t>
            </w:r>
          </w:p>
        </w:tc>
      </w:tr>
      <w:tr w:rsidR="009E5073" w:rsidRPr="004A6CE0" w14:paraId="7A9E6998"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335909D9" w14:textId="77777777" w:rsidR="009E5073" w:rsidRPr="004A6CE0" w:rsidRDefault="009E5073" w:rsidP="001A6AD0">
            <w:pPr>
              <w:jc w:val="both"/>
              <w:rPr>
                <w:b/>
              </w:rPr>
            </w:pPr>
          </w:p>
        </w:tc>
        <w:tc>
          <w:tcPr>
            <w:tcW w:w="7624" w:type="dxa"/>
            <w:tcBorders>
              <w:top w:val="single" w:sz="4" w:space="0" w:color="000000"/>
              <w:left w:val="single" w:sz="4" w:space="0" w:color="000000"/>
              <w:bottom w:val="single" w:sz="4" w:space="0" w:color="000000"/>
              <w:right w:val="single" w:sz="4" w:space="0" w:color="000000"/>
            </w:tcBorders>
          </w:tcPr>
          <w:p w14:paraId="79DBA6E4" w14:textId="77777777" w:rsidR="009E5073" w:rsidRPr="00DA6ED9" w:rsidRDefault="009E5073" w:rsidP="001A6AD0">
            <w:pPr>
              <w:jc w:val="both"/>
              <w:rPr>
                <w:sz w:val="20"/>
                <w:szCs w:val="20"/>
              </w:rPr>
            </w:pPr>
            <w:proofErr w:type="spellStart"/>
            <w:r w:rsidRPr="00DA6ED9">
              <w:rPr>
                <w:sz w:val="20"/>
                <w:szCs w:val="20"/>
              </w:rPr>
              <w:t>Проведення</w:t>
            </w:r>
            <w:proofErr w:type="spellEnd"/>
            <w:r w:rsidRPr="00DA6ED9">
              <w:rPr>
                <w:sz w:val="20"/>
                <w:szCs w:val="20"/>
              </w:rPr>
              <w:t xml:space="preserve"> </w:t>
            </w:r>
            <w:proofErr w:type="spellStart"/>
            <w:r w:rsidRPr="00DA6ED9">
              <w:rPr>
                <w:sz w:val="20"/>
                <w:szCs w:val="20"/>
              </w:rPr>
              <w:t>лекцій</w:t>
            </w:r>
            <w:proofErr w:type="spellEnd"/>
            <w:r w:rsidRPr="00DA6ED9">
              <w:rPr>
                <w:sz w:val="20"/>
                <w:szCs w:val="20"/>
              </w:rPr>
              <w:t xml:space="preserve">, </w:t>
            </w:r>
            <w:proofErr w:type="spellStart"/>
            <w:r w:rsidRPr="00DA6ED9">
              <w:rPr>
                <w:sz w:val="20"/>
                <w:szCs w:val="20"/>
              </w:rPr>
              <w:t>лабораторних</w:t>
            </w:r>
            <w:proofErr w:type="spellEnd"/>
            <w:r w:rsidRPr="00DA6ED9">
              <w:rPr>
                <w:sz w:val="20"/>
                <w:szCs w:val="20"/>
              </w:rPr>
              <w:t xml:space="preserve"> </w:t>
            </w:r>
            <w:proofErr w:type="spellStart"/>
            <w:r w:rsidRPr="00DA6ED9">
              <w:rPr>
                <w:sz w:val="20"/>
                <w:szCs w:val="20"/>
              </w:rPr>
              <w:t>робіт</w:t>
            </w:r>
            <w:proofErr w:type="spellEnd"/>
            <w:r w:rsidRPr="00DA6ED9">
              <w:rPr>
                <w:sz w:val="20"/>
                <w:szCs w:val="20"/>
              </w:rPr>
              <w:t xml:space="preserve"> та </w:t>
            </w:r>
            <w:proofErr w:type="spellStart"/>
            <w:r w:rsidRPr="00DA6ED9">
              <w:rPr>
                <w:sz w:val="20"/>
                <w:szCs w:val="20"/>
              </w:rPr>
              <w:t>консультації</w:t>
            </w:r>
            <w:proofErr w:type="spellEnd"/>
            <w:r w:rsidRPr="00DA6ED9">
              <w:rPr>
                <w:sz w:val="20"/>
                <w:szCs w:val="20"/>
              </w:rPr>
              <w:t xml:space="preserve"> для </w:t>
            </w:r>
            <w:proofErr w:type="spellStart"/>
            <w:r w:rsidRPr="00DA6ED9">
              <w:rPr>
                <w:sz w:val="20"/>
                <w:szCs w:val="20"/>
              </w:rPr>
              <w:t>кращого</w:t>
            </w:r>
            <w:proofErr w:type="spellEnd"/>
            <w:r w:rsidRPr="00DA6ED9">
              <w:rPr>
                <w:sz w:val="20"/>
                <w:szCs w:val="20"/>
              </w:rPr>
              <w:t xml:space="preserve"> </w:t>
            </w:r>
            <w:proofErr w:type="spellStart"/>
            <w:r w:rsidRPr="00DA6ED9">
              <w:rPr>
                <w:sz w:val="20"/>
                <w:szCs w:val="20"/>
              </w:rPr>
              <w:t>розуміння</w:t>
            </w:r>
            <w:proofErr w:type="spellEnd"/>
            <w:r w:rsidRPr="00DA6ED9">
              <w:rPr>
                <w:sz w:val="20"/>
                <w:szCs w:val="20"/>
              </w:rPr>
              <w:t xml:space="preserve"> тем</w:t>
            </w:r>
          </w:p>
        </w:tc>
      </w:tr>
      <w:tr w:rsidR="009E5073" w:rsidRPr="004A6CE0" w14:paraId="724C98BF" w14:textId="77777777" w:rsidTr="001137A7">
        <w:tc>
          <w:tcPr>
            <w:tcW w:w="2744" w:type="dxa"/>
            <w:tcBorders>
              <w:top w:val="single" w:sz="4" w:space="0" w:color="000000"/>
              <w:left w:val="single" w:sz="4" w:space="0" w:color="000000"/>
              <w:bottom w:val="single" w:sz="4" w:space="0" w:color="000000"/>
              <w:right w:val="single" w:sz="4" w:space="0" w:color="000000"/>
            </w:tcBorders>
            <w:shd w:val="clear" w:color="auto" w:fill="FFFFFF"/>
          </w:tcPr>
          <w:p w14:paraId="2A45D44C" w14:textId="77777777" w:rsidR="009E5073" w:rsidRPr="004A6CE0" w:rsidRDefault="009E5073" w:rsidP="001A6AD0">
            <w:pPr>
              <w:jc w:val="both"/>
              <w:rPr>
                <w:b/>
                <w:lang w:val="uk-UA"/>
              </w:rPr>
            </w:pPr>
            <w:r w:rsidRPr="004A6CE0">
              <w:rPr>
                <w:b/>
                <w:lang w:val="uk-UA"/>
              </w:rPr>
              <w:t>Теми</w:t>
            </w:r>
          </w:p>
        </w:tc>
        <w:tc>
          <w:tcPr>
            <w:tcW w:w="7624" w:type="dxa"/>
            <w:tcBorders>
              <w:top w:val="single" w:sz="4" w:space="0" w:color="000000"/>
              <w:left w:val="single" w:sz="4" w:space="0" w:color="000000"/>
              <w:bottom w:val="single" w:sz="4" w:space="0" w:color="000000"/>
              <w:right w:val="single" w:sz="4" w:space="0" w:color="000000"/>
            </w:tcBorders>
          </w:tcPr>
          <w:p w14:paraId="203DC7F6" w14:textId="77777777" w:rsidR="00C47E09" w:rsidRPr="00DA6ED9" w:rsidRDefault="00C47E09" w:rsidP="001A6AD0">
            <w:pPr>
              <w:tabs>
                <w:tab w:val="left" w:pos="240"/>
              </w:tabs>
              <w:contextualSpacing/>
              <w:jc w:val="both"/>
              <w:rPr>
                <w:sz w:val="20"/>
                <w:szCs w:val="20"/>
                <w:lang w:val="uk-UA"/>
              </w:rPr>
            </w:pPr>
            <w:r w:rsidRPr="00DA6ED9">
              <w:rPr>
                <w:b/>
                <w:sz w:val="20"/>
                <w:szCs w:val="20"/>
                <w:lang w:val="uk-UA"/>
              </w:rPr>
              <w:t>ДОДАТОК</w:t>
            </w:r>
            <w:r w:rsidRPr="00DA6ED9">
              <w:rPr>
                <w:b/>
                <w:sz w:val="20"/>
                <w:szCs w:val="20"/>
              </w:rPr>
              <w:t xml:space="preserve"> </w:t>
            </w:r>
            <w:r w:rsidRPr="00DA6ED9">
              <w:rPr>
                <w:b/>
                <w:sz w:val="20"/>
                <w:szCs w:val="20"/>
                <w:lang w:val="uk-UA"/>
              </w:rPr>
              <w:t>(с</w:t>
            </w:r>
            <w:proofErr w:type="spellStart"/>
            <w:r w:rsidRPr="00DA6ED9">
              <w:rPr>
                <w:b/>
                <w:sz w:val="20"/>
                <w:szCs w:val="20"/>
              </w:rPr>
              <w:t>хема</w:t>
            </w:r>
            <w:proofErr w:type="spellEnd"/>
            <w:r w:rsidRPr="00DA6ED9">
              <w:rPr>
                <w:b/>
                <w:sz w:val="20"/>
                <w:szCs w:val="20"/>
              </w:rPr>
              <w:t xml:space="preserve"> курсу</w:t>
            </w:r>
            <w:r w:rsidRPr="00DA6ED9">
              <w:rPr>
                <w:b/>
                <w:sz w:val="20"/>
                <w:szCs w:val="20"/>
                <w:lang w:val="uk-UA"/>
              </w:rPr>
              <w:t>)</w:t>
            </w:r>
          </w:p>
          <w:p w14:paraId="53EE26A0" w14:textId="68D721EF" w:rsidR="009E5073" w:rsidRPr="00DA6ED9" w:rsidRDefault="009E5073" w:rsidP="001A6AD0">
            <w:pPr>
              <w:pStyle w:val="a3"/>
              <w:spacing w:after="0" w:line="240" w:lineRule="auto"/>
              <w:ind w:left="0"/>
              <w:jc w:val="both"/>
              <w:rPr>
                <w:rFonts w:ascii="Times New Roman" w:hAnsi="Times New Roman" w:cs="Times New Roman"/>
                <w:color w:val="auto"/>
                <w:sz w:val="20"/>
                <w:szCs w:val="20"/>
                <w:lang w:val="uk-UA"/>
              </w:rPr>
            </w:pPr>
          </w:p>
        </w:tc>
      </w:tr>
      <w:tr w:rsidR="009E5073" w:rsidRPr="004A6CE0" w14:paraId="6770B9B9"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7F8CC24E" w14:textId="77777777" w:rsidR="009E5073" w:rsidRPr="004A6CE0" w:rsidRDefault="009E5073" w:rsidP="001A6AD0">
            <w:pPr>
              <w:jc w:val="both"/>
              <w:rPr>
                <w:b/>
                <w:lang w:val="uk-UA"/>
              </w:rPr>
            </w:pPr>
            <w:r w:rsidRPr="004A6CE0">
              <w:rPr>
                <w:b/>
                <w:lang w:val="uk-UA"/>
              </w:rPr>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tcPr>
          <w:p w14:paraId="1EC994B5" w14:textId="77777777" w:rsidR="00473553" w:rsidRDefault="00473553" w:rsidP="001A6AD0">
            <w:pPr>
              <w:contextualSpacing/>
              <w:jc w:val="both"/>
              <w:rPr>
                <w:lang w:val="uk-UA"/>
              </w:rPr>
            </w:pPr>
            <w:r w:rsidRPr="001C2A85">
              <w:rPr>
                <w:lang w:val="uk-UA"/>
              </w:rPr>
              <w:t>залік в кінці семестру</w:t>
            </w:r>
          </w:p>
          <w:p w14:paraId="6D22B46D" w14:textId="365A9FC6" w:rsidR="009E5073" w:rsidRPr="004A6CE0" w:rsidRDefault="00473553" w:rsidP="001A6AD0">
            <w:pPr>
              <w:jc w:val="both"/>
              <w:rPr>
                <w:lang w:val="uk-UA"/>
              </w:rPr>
            </w:pPr>
            <w:r>
              <w:rPr>
                <w:lang w:val="uk-UA"/>
              </w:rPr>
              <w:t>письмовий/тестовий контроль</w:t>
            </w:r>
          </w:p>
        </w:tc>
      </w:tr>
      <w:tr w:rsidR="009E5073" w:rsidRPr="004A6CE0" w14:paraId="05C08830"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6A91DF6C" w14:textId="77777777" w:rsidR="009E5073" w:rsidRPr="004A6CE0" w:rsidRDefault="009E5073" w:rsidP="001A6AD0">
            <w:pPr>
              <w:jc w:val="both"/>
              <w:rPr>
                <w:b/>
                <w:lang w:val="uk-UA"/>
              </w:rPr>
            </w:pPr>
            <w:proofErr w:type="spellStart"/>
            <w:r w:rsidRPr="004A6CE0">
              <w:rPr>
                <w:b/>
                <w:lang w:val="uk-UA"/>
              </w:rPr>
              <w:t>Пререквізити</w:t>
            </w:r>
            <w:proofErr w:type="spellEnd"/>
          </w:p>
        </w:tc>
        <w:tc>
          <w:tcPr>
            <w:tcW w:w="7624" w:type="dxa"/>
            <w:tcBorders>
              <w:top w:val="single" w:sz="4" w:space="0" w:color="000000"/>
              <w:left w:val="single" w:sz="4" w:space="0" w:color="000000"/>
              <w:bottom w:val="single" w:sz="4" w:space="0" w:color="000000"/>
              <w:right w:val="single" w:sz="4" w:space="0" w:color="000000"/>
            </w:tcBorders>
          </w:tcPr>
          <w:p w14:paraId="79351DAE" w14:textId="1755360C" w:rsidR="009E5073" w:rsidRPr="00895EFD" w:rsidRDefault="00DA6ED9" w:rsidP="00DA6ED9">
            <w:pPr>
              <w:jc w:val="both"/>
              <w:rPr>
                <w:lang w:val="uk-UA"/>
              </w:rPr>
            </w:pPr>
            <w:r w:rsidRPr="004E312E">
              <w:t xml:space="preserve">Для </w:t>
            </w:r>
            <w:proofErr w:type="spellStart"/>
            <w:r w:rsidRPr="004E312E">
              <w:t>вивчення</w:t>
            </w:r>
            <w:proofErr w:type="spellEnd"/>
            <w:r w:rsidRPr="004E312E">
              <w:t xml:space="preserve"> курсу </w:t>
            </w:r>
            <w:proofErr w:type="spellStart"/>
            <w:r w:rsidRPr="004E312E">
              <w:t>студенти</w:t>
            </w:r>
            <w:proofErr w:type="spellEnd"/>
            <w:r w:rsidRPr="004E312E">
              <w:t xml:space="preserve"> </w:t>
            </w:r>
            <w:proofErr w:type="spellStart"/>
            <w:r w:rsidRPr="004E312E">
              <w:t>потребують</w:t>
            </w:r>
            <w:proofErr w:type="spellEnd"/>
            <w:r w:rsidRPr="004E312E">
              <w:t xml:space="preserve"> </w:t>
            </w:r>
            <w:proofErr w:type="spellStart"/>
            <w:r w:rsidRPr="004E312E">
              <w:t>базових</w:t>
            </w:r>
            <w:proofErr w:type="spellEnd"/>
            <w:r w:rsidRPr="004E312E">
              <w:t xml:space="preserve"> </w:t>
            </w:r>
            <w:proofErr w:type="spellStart"/>
            <w:r w:rsidRPr="004E312E">
              <w:t>знань</w:t>
            </w:r>
            <w:proofErr w:type="spellEnd"/>
            <w:r w:rsidRPr="004E312E">
              <w:t xml:space="preserve"> з </w:t>
            </w:r>
            <w:proofErr w:type="spellStart"/>
            <w:r>
              <w:t>теорії</w:t>
            </w:r>
            <w:proofErr w:type="spellEnd"/>
            <w:r>
              <w:t xml:space="preserve"> </w:t>
            </w:r>
            <w:proofErr w:type="spellStart"/>
            <w:r>
              <w:lastRenderedPageBreak/>
              <w:t>держави</w:t>
            </w:r>
            <w:proofErr w:type="spellEnd"/>
            <w:r>
              <w:t xml:space="preserve"> і права, трудового та </w:t>
            </w:r>
            <w:proofErr w:type="spellStart"/>
            <w:r>
              <w:t>цивільного</w:t>
            </w:r>
            <w:proofErr w:type="spellEnd"/>
            <w:r>
              <w:t xml:space="preserve"> права, </w:t>
            </w:r>
            <w:proofErr w:type="spellStart"/>
            <w:r w:rsidRPr="004E312E">
              <w:t>достатніх</w:t>
            </w:r>
            <w:proofErr w:type="spellEnd"/>
            <w:r w:rsidRPr="004E312E">
              <w:t xml:space="preserve"> для </w:t>
            </w:r>
            <w:proofErr w:type="spellStart"/>
            <w:r w:rsidRPr="004E312E">
              <w:t>сприйняття</w:t>
            </w:r>
            <w:proofErr w:type="spellEnd"/>
            <w:r w:rsidRPr="004E312E">
              <w:t xml:space="preserve"> </w:t>
            </w:r>
            <w:proofErr w:type="spellStart"/>
            <w:r w:rsidRPr="004E312E">
              <w:t>категоріального</w:t>
            </w:r>
            <w:proofErr w:type="spellEnd"/>
            <w:r w:rsidRPr="004E312E">
              <w:t xml:space="preserve"> </w:t>
            </w:r>
            <w:proofErr w:type="spellStart"/>
            <w:r w:rsidRPr="004E312E">
              <w:t>апарату</w:t>
            </w:r>
            <w:proofErr w:type="spellEnd"/>
            <w:r w:rsidRPr="004E312E">
              <w:t xml:space="preserve"> </w:t>
            </w:r>
            <w:proofErr w:type="gramStart"/>
            <w:r>
              <w:rPr>
                <w:lang w:val="uk-UA"/>
              </w:rPr>
              <w:t>соц</w:t>
            </w:r>
            <w:proofErr w:type="gramEnd"/>
            <w:r>
              <w:rPr>
                <w:lang w:val="uk-UA"/>
              </w:rPr>
              <w:t>іального забезпечення</w:t>
            </w:r>
            <w:r w:rsidRPr="004E312E">
              <w:t xml:space="preserve"> </w:t>
            </w:r>
            <w:proofErr w:type="spellStart"/>
            <w:r w:rsidRPr="004E312E">
              <w:t>розуміння</w:t>
            </w:r>
            <w:proofErr w:type="spellEnd"/>
            <w:r w:rsidRPr="004E312E">
              <w:t xml:space="preserve"> </w:t>
            </w:r>
            <w:proofErr w:type="spellStart"/>
            <w:r w:rsidRPr="004E312E">
              <w:t>джерел</w:t>
            </w:r>
            <w:proofErr w:type="spellEnd"/>
            <w:r w:rsidRPr="004E312E">
              <w:t xml:space="preserve"> </w:t>
            </w:r>
            <w:proofErr w:type="spellStart"/>
            <w:r>
              <w:t>його</w:t>
            </w:r>
            <w:proofErr w:type="spellEnd"/>
            <w:r>
              <w:t xml:space="preserve"> правового </w:t>
            </w:r>
            <w:proofErr w:type="spellStart"/>
            <w:r>
              <w:t>регулювання</w:t>
            </w:r>
            <w:proofErr w:type="spellEnd"/>
            <w:r w:rsidR="00895EFD">
              <w:rPr>
                <w:lang w:val="uk-UA"/>
              </w:rPr>
              <w:t>.</w:t>
            </w:r>
            <w:bookmarkStart w:id="0" w:name="_GoBack"/>
            <w:bookmarkEnd w:id="0"/>
          </w:p>
        </w:tc>
      </w:tr>
      <w:tr w:rsidR="009E5073" w:rsidRPr="00D8351C" w14:paraId="085CE1C5"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4635432C" w14:textId="77777777" w:rsidR="009E5073" w:rsidRPr="004A6CE0" w:rsidRDefault="009E5073" w:rsidP="001A6AD0">
            <w:pPr>
              <w:jc w:val="both"/>
              <w:rPr>
                <w:b/>
                <w:lang w:val="uk-UA"/>
              </w:rPr>
            </w:pPr>
            <w:r w:rsidRPr="004A6CE0">
              <w:rPr>
                <w:b/>
                <w:lang w:val="uk-UA"/>
              </w:rPr>
              <w:lastRenderedPageBreak/>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14:paraId="0DB4FEDF" w14:textId="14F4F5B5" w:rsidR="00473553" w:rsidRDefault="00473553" w:rsidP="001A6AD0">
            <w:pPr>
              <w:jc w:val="both"/>
              <w:rPr>
                <w:lang w:val="uk-UA"/>
              </w:rPr>
            </w:pPr>
            <w:r w:rsidRPr="001C2A85">
              <w:rPr>
                <w:lang w:val="uk-UA"/>
              </w:rPr>
              <w:t xml:space="preserve">Презентація, лекції, </w:t>
            </w:r>
            <w:r>
              <w:rPr>
                <w:lang w:val="uk-UA"/>
              </w:rPr>
              <w:t>інтерактивне</w:t>
            </w:r>
            <w:r w:rsidRPr="001C2A85">
              <w:rPr>
                <w:lang w:val="uk-UA"/>
              </w:rPr>
              <w:t xml:space="preserve"> навчання</w:t>
            </w:r>
            <w:r>
              <w:rPr>
                <w:lang w:val="uk-UA"/>
              </w:rPr>
              <w:t xml:space="preserve"> </w:t>
            </w:r>
            <w:r w:rsidRPr="00C94E07">
              <w:rPr>
                <w:lang w:val="uk-UA"/>
              </w:rPr>
              <w:t>(робота в малих групах, мозковий штурм</w:t>
            </w:r>
            <w:r>
              <w:rPr>
                <w:lang w:val="uk-UA"/>
              </w:rPr>
              <w:t>, коопероване навчання</w:t>
            </w:r>
            <w:r w:rsidRPr="00C94E07">
              <w:rPr>
                <w:lang w:val="uk-UA"/>
              </w:rPr>
              <w:t>),</w:t>
            </w:r>
            <w:r>
              <w:rPr>
                <w:lang w:val="uk-UA"/>
              </w:rPr>
              <w:t xml:space="preserve"> розробка та представлення </w:t>
            </w:r>
            <w:proofErr w:type="spellStart"/>
            <w:r w:rsidRPr="001C2A85">
              <w:rPr>
                <w:lang w:val="uk-UA"/>
              </w:rPr>
              <w:t>про</w:t>
            </w:r>
            <w:r>
              <w:rPr>
                <w:lang w:val="uk-UA"/>
              </w:rPr>
              <w:t>є</w:t>
            </w:r>
            <w:r w:rsidRPr="001C2A85">
              <w:rPr>
                <w:lang w:val="uk-UA"/>
              </w:rPr>
              <w:t>к</w:t>
            </w:r>
            <w:r>
              <w:rPr>
                <w:lang w:val="uk-UA"/>
              </w:rPr>
              <w:t>тів</w:t>
            </w:r>
            <w:proofErr w:type="spellEnd"/>
            <w:r>
              <w:rPr>
                <w:lang w:val="uk-UA"/>
              </w:rPr>
              <w:t xml:space="preserve">, дискусія, </w:t>
            </w:r>
            <w:proofErr w:type="spellStart"/>
            <w:r w:rsidRPr="004A6CE0">
              <w:rPr>
                <w:lang w:val="uk-UA"/>
              </w:rPr>
              <w:t>тьюторство</w:t>
            </w:r>
            <w:proofErr w:type="spellEnd"/>
          </w:p>
          <w:p w14:paraId="096BD1D1" w14:textId="3DF3B8DC" w:rsidR="009E5073" w:rsidRPr="004A6CE0" w:rsidRDefault="009E5073" w:rsidP="001A6AD0">
            <w:pPr>
              <w:jc w:val="both"/>
              <w:rPr>
                <w:lang w:val="uk-UA"/>
              </w:rPr>
            </w:pPr>
            <w:r w:rsidRPr="004A6CE0">
              <w:rPr>
                <w:lang w:val="uk-UA"/>
              </w:rPr>
              <w:t xml:space="preserve">Презентація, лекції, </w:t>
            </w:r>
            <w:proofErr w:type="spellStart"/>
            <w:r w:rsidRPr="004A6CE0">
              <w:rPr>
                <w:lang w:val="uk-UA"/>
              </w:rPr>
              <w:t>колаборативне</w:t>
            </w:r>
            <w:proofErr w:type="spellEnd"/>
            <w:r w:rsidRPr="004A6CE0">
              <w:rPr>
                <w:lang w:val="uk-UA"/>
              </w:rPr>
              <w:t xml:space="preserve"> навчання (форми – групові проекти, спільні розробки, </w:t>
            </w:r>
            <w:proofErr w:type="spellStart"/>
            <w:r w:rsidRPr="004A6CE0">
              <w:rPr>
                <w:lang w:val="uk-UA"/>
              </w:rPr>
              <w:t>тьюторство</w:t>
            </w:r>
            <w:proofErr w:type="spellEnd"/>
            <w:r w:rsidRPr="004A6CE0">
              <w:rPr>
                <w:lang w:val="uk-UA"/>
              </w:rPr>
              <w:t>* ,  навчальні спільноти і т. д.) проектно-орієнтоване навчання, дискусія</w:t>
            </w:r>
          </w:p>
        </w:tc>
      </w:tr>
      <w:tr w:rsidR="009E5073" w:rsidRPr="004A6CE0" w14:paraId="6015E2AC"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6E4E07CC" w14:textId="77777777" w:rsidR="009E5073" w:rsidRPr="004A6CE0" w:rsidRDefault="009E5073" w:rsidP="001A6AD0">
            <w:pPr>
              <w:jc w:val="both"/>
              <w:rPr>
                <w:b/>
                <w:lang w:val="uk-UA"/>
              </w:rPr>
            </w:pPr>
            <w:r w:rsidRPr="004A6CE0">
              <w:rPr>
                <w:b/>
                <w:lang w:val="uk-UA"/>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tcPr>
          <w:p w14:paraId="428E1705" w14:textId="4A07AD0F" w:rsidR="009E5073" w:rsidRPr="00DA6ED9" w:rsidRDefault="00DA6ED9" w:rsidP="001A6AD0">
            <w:pPr>
              <w:jc w:val="both"/>
              <w:rPr>
                <w:lang w:val="uk-UA"/>
              </w:rPr>
            </w:pPr>
            <w:r>
              <w:rPr>
                <w:lang w:val="uk-UA"/>
              </w:rPr>
              <w:t>-</w:t>
            </w:r>
          </w:p>
        </w:tc>
      </w:tr>
      <w:tr w:rsidR="009E5073" w:rsidRPr="004A6CE0" w14:paraId="4F6EE9A0" w14:textId="77777777" w:rsidTr="00926853">
        <w:tc>
          <w:tcPr>
            <w:tcW w:w="2744" w:type="dxa"/>
            <w:tcBorders>
              <w:top w:val="single" w:sz="4" w:space="0" w:color="000000"/>
              <w:left w:val="single" w:sz="4" w:space="0" w:color="000000"/>
              <w:bottom w:val="single" w:sz="4" w:space="0" w:color="000000"/>
              <w:right w:val="single" w:sz="4" w:space="0" w:color="000000"/>
            </w:tcBorders>
          </w:tcPr>
          <w:p w14:paraId="42A5C1BE" w14:textId="77777777" w:rsidR="009E5073" w:rsidRPr="004A6CE0" w:rsidRDefault="009E5073" w:rsidP="001A6AD0">
            <w:pPr>
              <w:jc w:val="both"/>
              <w:rPr>
                <w:b/>
                <w:lang w:val="uk-UA"/>
              </w:rPr>
            </w:pPr>
            <w:r w:rsidRPr="004A6CE0">
              <w:rPr>
                <w:b/>
                <w:lang w:val="uk-UA"/>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14:paraId="6C066705" w14:textId="2CCBCC1A" w:rsidR="009E5073" w:rsidRPr="00473553" w:rsidRDefault="009E5073" w:rsidP="001A6AD0">
            <w:pPr>
              <w:jc w:val="both"/>
              <w:rPr>
                <w:lang w:val="uk-UA"/>
              </w:rPr>
            </w:pPr>
            <w:r w:rsidRPr="00473553">
              <w:rPr>
                <w:lang w:val="uk-UA"/>
              </w:rPr>
              <w:t xml:space="preserve">Оцінювання проводиться за 100-бальною шкалою. Бали нараховуються за наступним </w:t>
            </w:r>
            <w:r w:rsidR="005E00E2" w:rsidRPr="00473553">
              <w:rPr>
                <w:lang w:val="uk-UA"/>
              </w:rPr>
              <w:t>співвідношенням</w:t>
            </w:r>
            <w:r w:rsidRPr="00473553">
              <w:rPr>
                <w:lang w:val="uk-UA"/>
              </w:rPr>
              <w:t xml:space="preserve">: </w:t>
            </w:r>
          </w:p>
          <w:p w14:paraId="4CAB1238" w14:textId="54368D4A" w:rsidR="009E5073" w:rsidRPr="00473553" w:rsidRDefault="009E5073" w:rsidP="001A6AD0">
            <w:pPr>
              <w:jc w:val="both"/>
              <w:rPr>
                <w:lang w:val="uk-UA"/>
              </w:rPr>
            </w:pPr>
            <w:r w:rsidRPr="00473553">
              <w:rPr>
                <w:lang w:val="uk-UA"/>
              </w:rPr>
              <w:t>• практичні/самостійні тощо : 25% семестрової оцінки; максимальна кількість балів___</w:t>
            </w:r>
            <w:r w:rsidR="00473553" w:rsidRPr="00473553">
              <w:rPr>
                <w:lang w:val="uk-UA"/>
              </w:rPr>
              <w:t>25</w:t>
            </w:r>
            <w:r w:rsidRPr="00473553">
              <w:rPr>
                <w:lang w:val="uk-UA"/>
              </w:rPr>
              <w:t>__</w:t>
            </w:r>
          </w:p>
          <w:p w14:paraId="59E6BB4B" w14:textId="4BD72D05" w:rsidR="009E5073" w:rsidRPr="00473553" w:rsidRDefault="009E5073" w:rsidP="001A6AD0">
            <w:pPr>
              <w:jc w:val="both"/>
              <w:rPr>
                <w:lang w:val="uk-UA"/>
              </w:rPr>
            </w:pPr>
            <w:r w:rsidRPr="00473553">
              <w:rPr>
                <w:lang w:val="uk-UA"/>
              </w:rPr>
              <w:t>• контрольні заміри (модулі): 25% семестрової оцінки; максимальна кількість балів__</w:t>
            </w:r>
            <w:r w:rsidR="00473553" w:rsidRPr="00473553">
              <w:rPr>
                <w:lang w:val="uk-UA"/>
              </w:rPr>
              <w:t>25</w:t>
            </w:r>
            <w:r w:rsidRPr="00473553">
              <w:rPr>
                <w:lang w:val="uk-UA"/>
              </w:rPr>
              <w:t>____</w:t>
            </w:r>
          </w:p>
          <w:p w14:paraId="03AC1AFE" w14:textId="3C223D31" w:rsidR="009E5073" w:rsidRPr="00473553" w:rsidRDefault="00B90AA7" w:rsidP="001A6AD0">
            <w:pPr>
              <w:jc w:val="both"/>
              <w:rPr>
                <w:lang w:val="uk-UA"/>
              </w:rPr>
            </w:pPr>
            <w:r>
              <w:rPr>
                <w:lang w:val="uk-UA"/>
              </w:rPr>
              <w:t xml:space="preserve"> • </w:t>
            </w:r>
            <w:r w:rsidR="009E5073" w:rsidRPr="00473553">
              <w:rPr>
                <w:lang w:val="uk-UA"/>
              </w:rPr>
              <w:t>залік</w:t>
            </w:r>
            <w:r>
              <w:rPr>
                <w:lang w:val="uk-UA"/>
              </w:rPr>
              <w:t xml:space="preserve"> (на основі сумарної оцінки за кожну із письмових робіт)</w:t>
            </w:r>
            <w:r w:rsidR="009E5073" w:rsidRPr="00473553">
              <w:rPr>
                <w:lang w:val="uk-UA"/>
              </w:rPr>
              <w:t>: 50% семестрової оцінки. Максимальна кількість балів_</w:t>
            </w:r>
            <w:r w:rsidR="00473553" w:rsidRPr="00473553">
              <w:rPr>
                <w:lang w:val="uk-UA"/>
              </w:rPr>
              <w:t>50</w:t>
            </w:r>
            <w:r w:rsidR="009E5073" w:rsidRPr="00473553">
              <w:rPr>
                <w:lang w:val="uk-UA"/>
              </w:rPr>
              <w:t>___</w:t>
            </w:r>
          </w:p>
          <w:p w14:paraId="7C944794" w14:textId="73A32104" w:rsidR="009E5073" w:rsidRPr="00473553" w:rsidRDefault="009E5073" w:rsidP="001A6AD0">
            <w:pPr>
              <w:jc w:val="both"/>
              <w:rPr>
                <w:lang w:val="uk-UA"/>
              </w:rPr>
            </w:pPr>
            <w:r w:rsidRPr="00473553">
              <w:rPr>
                <w:lang w:val="uk-UA"/>
              </w:rPr>
              <w:t>Підсумкова максимальна кількість балів_</w:t>
            </w:r>
            <w:r w:rsidR="00473553" w:rsidRPr="00473553">
              <w:rPr>
                <w:lang w:val="uk-UA"/>
              </w:rPr>
              <w:t>100</w:t>
            </w:r>
            <w:r w:rsidRPr="00473553">
              <w:rPr>
                <w:lang w:val="uk-UA"/>
              </w:rPr>
              <w:t>______</w:t>
            </w:r>
          </w:p>
          <w:p w14:paraId="5F8AF9A4" w14:textId="77777777" w:rsidR="009E5073" w:rsidRPr="003A7550" w:rsidRDefault="009E5073" w:rsidP="001A6AD0">
            <w:pPr>
              <w:jc w:val="both"/>
              <w:rPr>
                <w:lang w:val="uk-UA"/>
              </w:rPr>
            </w:pPr>
          </w:p>
          <w:p w14:paraId="7197F299" w14:textId="77777777" w:rsidR="009E5073" w:rsidRPr="003A7550" w:rsidRDefault="009E5073" w:rsidP="001A6AD0">
            <w:pPr>
              <w:jc w:val="both"/>
              <w:rPr>
                <w:lang w:val="uk-UA"/>
              </w:rPr>
            </w:pPr>
          </w:p>
          <w:p w14:paraId="5CA86932" w14:textId="77777777" w:rsidR="00473553" w:rsidRDefault="009E5073" w:rsidP="001A6AD0">
            <w:pPr>
              <w:jc w:val="both"/>
              <w:rPr>
                <w:lang w:val="uk-UA"/>
              </w:rPr>
            </w:pPr>
            <w:r w:rsidRPr="00473553">
              <w:rPr>
                <w:b/>
                <w:lang w:val="uk-UA"/>
              </w:rPr>
              <w:t>Письмові роботи:</w:t>
            </w:r>
            <w:r w:rsidRPr="00473553">
              <w:rPr>
                <w:lang w:val="uk-UA"/>
              </w:rPr>
              <w:t xml:space="preserve"> Очікується, що студенти виконають декілька видів письмових робіт</w:t>
            </w:r>
            <w:r w:rsidR="00473553">
              <w:rPr>
                <w:lang w:val="uk-UA"/>
              </w:rPr>
              <w:t>:</w:t>
            </w:r>
          </w:p>
          <w:p w14:paraId="75207540" w14:textId="6590C6DC" w:rsidR="00BB63BF" w:rsidRPr="008047A2" w:rsidRDefault="00473553" w:rsidP="00BB63BF">
            <w:pPr>
              <w:jc w:val="both"/>
              <w:rPr>
                <w:lang w:val="uk-UA"/>
              </w:rPr>
            </w:pPr>
            <w:r>
              <w:rPr>
                <w:lang w:val="uk-UA"/>
              </w:rPr>
              <w:t>1)</w:t>
            </w:r>
            <w:r w:rsidR="00800C3A">
              <w:rPr>
                <w:lang w:val="uk-UA"/>
              </w:rPr>
              <w:t xml:space="preserve"> </w:t>
            </w:r>
            <w:r w:rsidR="00BB63BF">
              <w:rPr>
                <w:lang w:val="uk-UA"/>
              </w:rPr>
              <w:t xml:space="preserve">На основі запропонованого завдання (кожному студенту індивідуальне) </w:t>
            </w:r>
            <w:r w:rsidR="00B22CA8">
              <w:rPr>
                <w:lang w:val="uk-UA"/>
              </w:rPr>
              <w:t>н</w:t>
            </w:r>
            <w:r w:rsidR="00BB63BF">
              <w:rPr>
                <w:lang w:val="uk-UA"/>
              </w:rPr>
              <w:t xml:space="preserve">адати особі письмову консультацію </w:t>
            </w:r>
            <w:r w:rsidR="00926853">
              <w:rPr>
                <w:lang w:val="uk-UA"/>
              </w:rPr>
              <w:t xml:space="preserve">щодо процедури підтвердження </w:t>
            </w:r>
            <w:proofErr w:type="spellStart"/>
            <w:r w:rsidR="00926853">
              <w:rPr>
                <w:lang w:val="uk-UA"/>
              </w:rPr>
              <w:t>правовстановлювальних</w:t>
            </w:r>
            <w:proofErr w:type="spellEnd"/>
            <w:r w:rsidR="00B22CA8">
              <w:rPr>
                <w:lang w:val="uk-UA"/>
              </w:rPr>
              <w:t xml:space="preserve"> пенсійних юридичних фактів </w:t>
            </w:r>
            <w:r w:rsidR="00926853">
              <w:rPr>
                <w:lang w:val="uk-UA"/>
              </w:rPr>
              <w:t xml:space="preserve"> </w:t>
            </w:r>
            <w:r w:rsidR="00BB63BF">
              <w:rPr>
                <w:lang w:val="uk-UA"/>
              </w:rPr>
              <w:t>та оформити (письмово) необхідні за умовами завдання документи.</w:t>
            </w:r>
          </w:p>
          <w:p w14:paraId="317D9673" w14:textId="69A02ED5" w:rsidR="00C31925" w:rsidRDefault="00BB63BF" w:rsidP="00C31925">
            <w:pPr>
              <w:jc w:val="both"/>
              <w:rPr>
                <w:lang w:val="uk-UA"/>
              </w:rPr>
            </w:pPr>
            <w:r>
              <w:rPr>
                <w:lang w:val="uk-UA"/>
              </w:rPr>
              <w:t xml:space="preserve">2) </w:t>
            </w:r>
            <w:r w:rsidR="00C31925" w:rsidRPr="006171EC">
              <w:rPr>
                <w:lang w:val="uk-UA"/>
              </w:rPr>
              <w:t>Проаналізувати одне із рішень Європейського Суду з прав людини у сфері пенсійного забезпечення та навести власні аргументи щодо підтримання</w:t>
            </w:r>
            <w:r w:rsidR="008C2473">
              <w:rPr>
                <w:lang w:val="uk-UA"/>
              </w:rPr>
              <w:t>/заперечення обраного рішення (з аналізом відповідного національного законода</w:t>
            </w:r>
            <w:r w:rsidR="002B76E5">
              <w:rPr>
                <w:lang w:val="uk-UA"/>
              </w:rPr>
              <w:t>в</w:t>
            </w:r>
            <w:r w:rsidR="008C2473">
              <w:rPr>
                <w:lang w:val="uk-UA"/>
              </w:rPr>
              <w:t>ства).</w:t>
            </w:r>
          </w:p>
          <w:p w14:paraId="493446F3" w14:textId="050EE737" w:rsidR="00473553" w:rsidRDefault="00473553" w:rsidP="001A6AD0">
            <w:pPr>
              <w:jc w:val="both"/>
              <w:rPr>
                <w:lang w:val="uk-UA"/>
              </w:rPr>
            </w:pPr>
            <w:r>
              <w:rPr>
                <w:lang w:val="uk-UA"/>
              </w:rPr>
              <w:t xml:space="preserve">3) </w:t>
            </w:r>
            <w:r w:rsidRPr="006171EC">
              <w:rPr>
                <w:lang w:val="uk-UA"/>
              </w:rPr>
              <w:t>Проаналізувати одне із рішень Верховного Суду, що має значення у сфері пенсійного забезпечення та навести власні аргументи щодо підтримання та заперечення обраного рішення.</w:t>
            </w:r>
          </w:p>
          <w:p w14:paraId="7E7F0277" w14:textId="1C77CB99" w:rsidR="00853C2B" w:rsidRDefault="00B22CA8" w:rsidP="001A6AD0">
            <w:pPr>
              <w:jc w:val="both"/>
              <w:rPr>
                <w:lang w:val="uk-UA"/>
              </w:rPr>
            </w:pPr>
            <w:r>
              <w:rPr>
                <w:lang w:val="uk-UA"/>
              </w:rPr>
              <w:t>4</w:t>
            </w:r>
            <w:r w:rsidR="00853C2B">
              <w:rPr>
                <w:lang w:val="uk-UA"/>
              </w:rPr>
              <w:t xml:space="preserve">) </w:t>
            </w:r>
            <w:r w:rsidR="002B76E5">
              <w:rPr>
                <w:lang w:val="uk-UA"/>
              </w:rPr>
              <w:t xml:space="preserve">На основі запропонованого завдання (кожному студенту індивідуальне) з урахуванням матеріальних норм, правових позицій Верховного Суду та процесуального законодавства написати судове рішення у сфері захисту права особи на </w:t>
            </w:r>
            <w:r>
              <w:rPr>
                <w:lang w:val="uk-UA"/>
              </w:rPr>
              <w:t>пенсійне забезпечення</w:t>
            </w:r>
            <w:r w:rsidR="002B76E5">
              <w:rPr>
                <w:lang w:val="uk-UA"/>
              </w:rPr>
              <w:t>.</w:t>
            </w:r>
          </w:p>
          <w:p w14:paraId="7D35FDAE" w14:textId="77777777" w:rsidR="00853C2B" w:rsidRDefault="00853C2B" w:rsidP="001A6AD0">
            <w:pPr>
              <w:jc w:val="both"/>
              <w:rPr>
                <w:lang w:val="uk-UA"/>
              </w:rPr>
            </w:pPr>
          </w:p>
          <w:p w14:paraId="30B53E0E" w14:textId="77777777" w:rsidR="00853C2B" w:rsidRDefault="00853C2B" w:rsidP="001A6AD0">
            <w:pPr>
              <w:jc w:val="both"/>
              <w:rPr>
                <w:lang w:val="uk-UA"/>
              </w:rPr>
            </w:pPr>
          </w:p>
          <w:p w14:paraId="20CF49A7" w14:textId="77777777" w:rsidR="004E3F5A" w:rsidRDefault="009E5073" w:rsidP="001A6AD0">
            <w:pPr>
              <w:jc w:val="both"/>
              <w:rPr>
                <w:lang w:val="uk-UA"/>
              </w:rPr>
            </w:pPr>
            <w:r w:rsidRPr="00473553">
              <w:rPr>
                <w:b/>
                <w:lang w:val="uk-UA"/>
              </w:rPr>
              <w:t>Академічна доброчесність</w:t>
            </w:r>
            <w:r w:rsidRPr="00473553">
              <w:rPr>
                <w:lang w:val="uk-UA"/>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w:t>
            </w:r>
            <w:proofErr w:type="spellStart"/>
            <w:r w:rsidRPr="00473553">
              <w:rPr>
                <w:lang w:val="uk-UA"/>
              </w:rPr>
              <w:t>недоброчесності</w:t>
            </w:r>
            <w:proofErr w:type="spellEnd"/>
            <w:r w:rsidRPr="00473553">
              <w:rPr>
                <w:lang w:val="uk-UA"/>
              </w:rPr>
              <w:t xml:space="preserve">. Виявлення ознак академічної </w:t>
            </w:r>
            <w:proofErr w:type="spellStart"/>
            <w:r w:rsidRPr="00473553">
              <w:rPr>
                <w:lang w:val="uk-UA"/>
              </w:rPr>
              <w:t>недоброчесності</w:t>
            </w:r>
            <w:proofErr w:type="spellEnd"/>
            <w:r w:rsidRPr="00473553">
              <w:rPr>
                <w:lang w:val="uk-UA"/>
              </w:rPr>
              <w:t xml:space="preserve"> в письмовій роботі студента є підставою для її </w:t>
            </w:r>
            <w:proofErr w:type="spellStart"/>
            <w:r w:rsidRPr="00473553">
              <w:rPr>
                <w:lang w:val="uk-UA"/>
              </w:rPr>
              <w:t>незарахуванння</w:t>
            </w:r>
            <w:proofErr w:type="spellEnd"/>
            <w:r w:rsidRPr="00473553">
              <w:rPr>
                <w:lang w:val="uk-UA"/>
              </w:rPr>
              <w:t xml:space="preserve"> викладачем, незалежно від масштабів плагіату чи обману. </w:t>
            </w:r>
          </w:p>
          <w:p w14:paraId="54DA16AC" w14:textId="77777777" w:rsidR="004E3F5A" w:rsidRDefault="004E3F5A" w:rsidP="001A6AD0">
            <w:pPr>
              <w:jc w:val="both"/>
              <w:rPr>
                <w:lang w:val="uk-UA"/>
              </w:rPr>
            </w:pPr>
          </w:p>
          <w:p w14:paraId="4DA4A3F1" w14:textId="77777777" w:rsidR="004E3F5A" w:rsidRDefault="009E5073" w:rsidP="001A6AD0">
            <w:pPr>
              <w:jc w:val="both"/>
              <w:rPr>
                <w:lang w:val="uk-UA"/>
              </w:rPr>
            </w:pPr>
            <w:r w:rsidRPr="00473553">
              <w:rPr>
                <w:b/>
                <w:lang w:val="uk-UA"/>
              </w:rPr>
              <w:t>Відвідання занять</w:t>
            </w:r>
            <w:r w:rsidRPr="00473553">
              <w:rPr>
                <w:lang w:val="uk-UA"/>
              </w:rPr>
              <w:t xml:space="preserve"> є важливою складовою навчання. Очікується, що всі студенти відвідають усі лекції і практичні зайняття курсу. Студенти мають інформувати викладача про неможливість відвідати заняття. У </w:t>
            </w:r>
            <w:r w:rsidRPr="00473553">
              <w:rPr>
                <w:lang w:val="uk-UA"/>
              </w:rPr>
              <w:lastRenderedPageBreak/>
              <w:t xml:space="preserve">будь-якому випадку студенти зобов’язані дотримуватися усіх строків визначених для виконання усіх видів письмових робіт, передбачених курсом. </w:t>
            </w:r>
          </w:p>
          <w:p w14:paraId="75BD3A02" w14:textId="77777777" w:rsidR="006B0867" w:rsidRDefault="006B0867" w:rsidP="001A6AD0">
            <w:pPr>
              <w:jc w:val="both"/>
              <w:rPr>
                <w:lang w:val="uk-UA"/>
              </w:rPr>
            </w:pPr>
          </w:p>
          <w:p w14:paraId="6D42D89B" w14:textId="40323E20" w:rsidR="009E5073" w:rsidRPr="00473553" w:rsidRDefault="009E5073" w:rsidP="001A6AD0">
            <w:pPr>
              <w:jc w:val="both"/>
              <w:rPr>
                <w:lang w:val="uk-UA"/>
              </w:rPr>
            </w:pPr>
            <w:r w:rsidRPr="00473553">
              <w:rPr>
                <w:b/>
                <w:lang w:val="uk-UA"/>
              </w:rPr>
              <w:t>Література.</w:t>
            </w:r>
            <w:r w:rsidRPr="00473553">
              <w:rPr>
                <w:lang w:val="uk-UA"/>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14:paraId="387CAA6B" w14:textId="77777777" w:rsidR="009E5073" w:rsidRPr="004A6CE0" w:rsidRDefault="009E5073" w:rsidP="001A6AD0">
            <w:pPr>
              <w:jc w:val="both"/>
            </w:pPr>
          </w:p>
          <w:p w14:paraId="21A2AB4E" w14:textId="77777777" w:rsidR="009E5073" w:rsidRPr="004A6CE0" w:rsidRDefault="009E5073" w:rsidP="001A6AD0">
            <w:pPr>
              <w:shd w:val="clear" w:color="auto" w:fill="FFFFFF"/>
              <w:jc w:val="both"/>
              <w:textAlignment w:val="baseline"/>
              <w:rPr>
                <w:lang w:val="uk-UA" w:eastAsia="uk-UA"/>
              </w:rPr>
            </w:pPr>
            <w:r w:rsidRPr="004A6CE0">
              <w:t>П</w:t>
            </w:r>
            <w:proofErr w:type="spellStart"/>
            <w:r w:rsidRPr="004A6CE0">
              <w:rPr>
                <w:b/>
                <w:bCs/>
                <w:lang w:val="uk-UA" w:eastAsia="uk-UA"/>
              </w:rPr>
              <w:t>олітика</w:t>
            </w:r>
            <w:proofErr w:type="spellEnd"/>
            <w:r w:rsidRPr="004A6CE0">
              <w:rPr>
                <w:b/>
                <w:bCs/>
                <w:lang w:val="uk-UA" w:eastAsia="uk-UA"/>
              </w:rPr>
              <w:t xml:space="preserve"> виставлення балів.</w:t>
            </w:r>
            <w:r w:rsidRPr="004A6CE0">
              <w:rPr>
                <w:lang w:val="uk-UA" w:eastAsia="uk-UA"/>
              </w:rPr>
              <w:t> Враховуються бали набрані на поточному тестуванні, самостійній роботі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14:paraId="7892A068" w14:textId="77777777" w:rsidR="009E5073" w:rsidRPr="004A6CE0" w:rsidRDefault="009E5073" w:rsidP="001A6AD0">
            <w:pPr>
              <w:shd w:val="clear" w:color="auto" w:fill="FFFFFF"/>
              <w:jc w:val="both"/>
              <w:textAlignment w:val="baseline"/>
              <w:rPr>
                <w:lang w:val="uk-UA" w:eastAsia="uk-UA"/>
              </w:rPr>
            </w:pPr>
          </w:p>
          <w:p w14:paraId="2C20A427" w14:textId="77777777" w:rsidR="009E5073" w:rsidRPr="00025067" w:rsidRDefault="009E5073" w:rsidP="001A6AD0">
            <w:pPr>
              <w:shd w:val="clear" w:color="auto" w:fill="FFFFFF"/>
              <w:jc w:val="both"/>
              <w:textAlignment w:val="baseline"/>
              <w:rPr>
                <w:lang w:val="uk-UA" w:eastAsia="uk-UA"/>
              </w:rPr>
            </w:pPr>
            <w:r w:rsidRPr="00025067">
              <w:rPr>
                <w:lang w:val="uk-UA"/>
              </w:rPr>
              <w:t>Жодні форми порушення академічної доброчесності не толеруються.</w:t>
            </w:r>
          </w:p>
          <w:p w14:paraId="7B463512" w14:textId="77777777" w:rsidR="009E5073" w:rsidRPr="004A6CE0" w:rsidRDefault="009E5073" w:rsidP="001A6AD0">
            <w:pPr>
              <w:jc w:val="both"/>
            </w:pPr>
          </w:p>
        </w:tc>
      </w:tr>
      <w:tr w:rsidR="009E5073" w:rsidRPr="004A6CE0" w14:paraId="79D6AF50"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6D058327" w14:textId="1B51EB1B" w:rsidR="009E5073" w:rsidRPr="004A6CE0" w:rsidRDefault="009E5073" w:rsidP="001A6AD0">
            <w:pPr>
              <w:jc w:val="both"/>
              <w:rPr>
                <w:b/>
                <w:lang w:val="uk-UA"/>
              </w:rPr>
            </w:pPr>
            <w:r w:rsidRPr="004A6CE0">
              <w:rPr>
                <w:b/>
                <w:bCs/>
                <w:lang w:val="uk-UA" w:eastAsia="uk-UA"/>
              </w:rPr>
              <w:lastRenderedPageBreak/>
              <w:t>Питання до заліку чи екзамену.</w:t>
            </w:r>
          </w:p>
        </w:tc>
        <w:tc>
          <w:tcPr>
            <w:tcW w:w="7624" w:type="dxa"/>
            <w:tcBorders>
              <w:top w:val="single" w:sz="4" w:space="0" w:color="000000"/>
              <w:left w:val="single" w:sz="4" w:space="0" w:color="000000"/>
              <w:bottom w:val="single" w:sz="4" w:space="0" w:color="000000"/>
              <w:right w:val="single" w:sz="4" w:space="0" w:color="000000"/>
            </w:tcBorders>
          </w:tcPr>
          <w:p w14:paraId="22202317" w14:textId="7062DC48" w:rsidR="009E5073" w:rsidRPr="004A6CE0" w:rsidRDefault="004B00A3" w:rsidP="001A6AD0">
            <w:pPr>
              <w:jc w:val="both"/>
              <w:rPr>
                <w:lang w:val="uk-UA"/>
              </w:rPr>
            </w:pPr>
            <w:r>
              <w:rPr>
                <w:lang w:val="uk-UA"/>
              </w:rPr>
              <w:t>Залік/іспит оформляється за результатами поточної успішності.</w:t>
            </w:r>
          </w:p>
          <w:p w14:paraId="45EEEBBE" w14:textId="77777777" w:rsidR="009E5073" w:rsidRPr="004A6CE0" w:rsidRDefault="009E5073" w:rsidP="001A6AD0">
            <w:pPr>
              <w:jc w:val="both"/>
              <w:rPr>
                <w:lang w:val="uk-UA"/>
              </w:rPr>
            </w:pPr>
          </w:p>
        </w:tc>
      </w:tr>
      <w:tr w:rsidR="009E5073" w:rsidRPr="004A6CE0" w14:paraId="7757B605"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3C10815B" w14:textId="77777777" w:rsidR="009E5073" w:rsidRPr="004A6CE0" w:rsidRDefault="009E5073" w:rsidP="001A6AD0">
            <w:pPr>
              <w:jc w:val="both"/>
              <w:rPr>
                <w:b/>
                <w:lang w:val="uk-UA"/>
              </w:rPr>
            </w:pPr>
            <w:r w:rsidRPr="004A6CE0">
              <w:rPr>
                <w:b/>
                <w:lang w:val="uk-UA"/>
              </w:rPr>
              <w:t>Опитування</w:t>
            </w:r>
          </w:p>
        </w:tc>
        <w:tc>
          <w:tcPr>
            <w:tcW w:w="7624" w:type="dxa"/>
            <w:tcBorders>
              <w:top w:val="single" w:sz="4" w:space="0" w:color="000000"/>
              <w:left w:val="single" w:sz="4" w:space="0" w:color="000000"/>
              <w:bottom w:val="single" w:sz="4" w:space="0" w:color="000000"/>
              <w:right w:val="single" w:sz="4" w:space="0" w:color="000000"/>
            </w:tcBorders>
          </w:tcPr>
          <w:p w14:paraId="603F4C1C" w14:textId="35866AA7" w:rsidR="009E5073" w:rsidRPr="004A6CE0" w:rsidRDefault="004B00A3" w:rsidP="001A6AD0">
            <w:pPr>
              <w:jc w:val="both"/>
              <w:rPr>
                <w:lang w:val="uk-UA"/>
              </w:rPr>
            </w:pPr>
            <w:r w:rsidRPr="00A23296">
              <w:rPr>
                <w:lang w:val="uk-UA"/>
              </w:rPr>
              <w:t>Анкету-оцінку з метою оцінювання якості курсу буде надано по завершенню курсу.</w:t>
            </w:r>
          </w:p>
        </w:tc>
      </w:tr>
    </w:tbl>
    <w:p w14:paraId="7AEED493" w14:textId="77777777" w:rsidR="009E5073" w:rsidRPr="004A6CE0" w:rsidRDefault="009E5073" w:rsidP="001A6AD0">
      <w:pPr>
        <w:jc w:val="both"/>
        <w:rPr>
          <w:rFonts w:ascii="Garamond" w:hAnsi="Garamond" w:cs="Garamond"/>
          <w:lang w:val="uk-UA"/>
        </w:rPr>
      </w:pPr>
    </w:p>
    <w:p w14:paraId="50F44D8D" w14:textId="77777777" w:rsidR="009E5073" w:rsidRPr="004A6CE0" w:rsidRDefault="009E5073" w:rsidP="001A6AD0">
      <w:pPr>
        <w:jc w:val="both"/>
        <w:rPr>
          <w:rFonts w:ascii="Garamond" w:hAnsi="Garamond" w:cs="Garamond"/>
          <w:i/>
          <w:lang w:val="uk-UA"/>
        </w:rPr>
      </w:pPr>
    </w:p>
    <w:p w14:paraId="474FEC92" w14:textId="77777777" w:rsidR="009E5073" w:rsidRPr="004A6CE0" w:rsidRDefault="009E5073" w:rsidP="001A6AD0">
      <w:pPr>
        <w:jc w:val="both"/>
        <w:rPr>
          <w:rFonts w:ascii="Garamond" w:hAnsi="Garamond" w:cs="Garamond"/>
          <w:i/>
          <w:lang w:val="uk-UA"/>
        </w:rPr>
      </w:pPr>
    </w:p>
    <w:tbl>
      <w:tblPr>
        <w:tblW w:w="10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405"/>
        <w:gridCol w:w="2187"/>
        <w:gridCol w:w="2092"/>
        <w:gridCol w:w="1254"/>
        <w:gridCol w:w="1842"/>
      </w:tblGrid>
      <w:tr w:rsidR="00ED03C4" w:rsidRPr="004A6CE0" w14:paraId="25B65627" w14:textId="77777777" w:rsidTr="00025A1B">
        <w:tc>
          <w:tcPr>
            <w:tcW w:w="784" w:type="dxa"/>
            <w:shd w:val="clear" w:color="auto" w:fill="auto"/>
          </w:tcPr>
          <w:p w14:paraId="6033686A" w14:textId="77777777" w:rsidR="009E5073" w:rsidRPr="004A6CE0" w:rsidRDefault="009E5073" w:rsidP="001A6AD0">
            <w:pPr>
              <w:jc w:val="both"/>
              <w:rPr>
                <w:rFonts w:ascii="Garamond" w:hAnsi="Garamond" w:cs="Garamond"/>
                <w:i/>
                <w:lang w:val="uk-UA"/>
              </w:rPr>
            </w:pPr>
            <w:proofErr w:type="spellStart"/>
            <w:r w:rsidRPr="004A6CE0">
              <w:t>Тиж</w:t>
            </w:r>
            <w:proofErr w:type="spellEnd"/>
            <w:r w:rsidRPr="004A6CE0">
              <w:t>. / дата / год.-</w:t>
            </w:r>
          </w:p>
        </w:tc>
        <w:tc>
          <w:tcPr>
            <w:tcW w:w="2405" w:type="dxa"/>
            <w:shd w:val="clear" w:color="auto" w:fill="auto"/>
          </w:tcPr>
          <w:p w14:paraId="2F39A05F" w14:textId="77777777" w:rsidR="009E5073" w:rsidRPr="004A6CE0" w:rsidRDefault="009E5073" w:rsidP="001A6AD0">
            <w:pPr>
              <w:jc w:val="both"/>
              <w:rPr>
                <w:rFonts w:ascii="Garamond" w:hAnsi="Garamond" w:cs="Garamond"/>
                <w:i/>
                <w:lang w:val="uk-UA"/>
              </w:rPr>
            </w:pPr>
            <w:r w:rsidRPr="004A6CE0">
              <w:t xml:space="preserve">Тема, план, </w:t>
            </w:r>
            <w:proofErr w:type="spellStart"/>
            <w:r w:rsidRPr="004A6CE0">
              <w:t>короткі</w:t>
            </w:r>
            <w:proofErr w:type="spellEnd"/>
            <w:r w:rsidRPr="004A6CE0">
              <w:t xml:space="preserve"> </w:t>
            </w:r>
            <w:proofErr w:type="spellStart"/>
            <w:r w:rsidRPr="004A6CE0">
              <w:t>тези</w:t>
            </w:r>
            <w:proofErr w:type="spellEnd"/>
          </w:p>
        </w:tc>
        <w:tc>
          <w:tcPr>
            <w:tcW w:w="2187" w:type="dxa"/>
            <w:shd w:val="clear" w:color="auto" w:fill="auto"/>
          </w:tcPr>
          <w:p w14:paraId="50CA2BA3" w14:textId="77777777" w:rsidR="009E5073" w:rsidRPr="004A6CE0" w:rsidRDefault="009E5073" w:rsidP="001A6AD0">
            <w:pPr>
              <w:jc w:val="both"/>
              <w:rPr>
                <w:rFonts w:ascii="Garamond" w:hAnsi="Garamond" w:cs="Garamond"/>
                <w:i/>
                <w:lang w:val="uk-UA"/>
              </w:rPr>
            </w:pPr>
            <w:r w:rsidRPr="004A6CE0">
              <w:rPr>
                <w:lang w:val="uk-UA"/>
              </w:rPr>
              <w:t xml:space="preserve">Форма діяльності (заняття)* *лекція, самостійна, дискусія, групова робота) </w:t>
            </w:r>
          </w:p>
        </w:tc>
        <w:tc>
          <w:tcPr>
            <w:tcW w:w="2092" w:type="dxa"/>
            <w:shd w:val="clear" w:color="auto" w:fill="auto"/>
          </w:tcPr>
          <w:p w14:paraId="76F8DEDC" w14:textId="77777777" w:rsidR="009E5073" w:rsidRPr="004A6CE0" w:rsidRDefault="009E5073" w:rsidP="001A6AD0">
            <w:pPr>
              <w:jc w:val="both"/>
              <w:rPr>
                <w:rFonts w:ascii="Garamond" w:hAnsi="Garamond" w:cs="Garamond"/>
                <w:i/>
                <w:lang w:val="uk-UA"/>
              </w:rPr>
            </w:pPr>
            <w:proofErr w:type="spellStart"/>
            <w:r w:rsidRPr="004A6CE0">
              <w:t>Література</w:t>
            </w:r>
            <w:proofErr w:type="spellEnd"/>
            <w:r w:rsidRPr="004A6CE0">
              <w:t xml:space="preserve">.*** </w:t>
            </w:r>
            <w:proofErr w:type="spellStart"/>
            <w:r w:rsidRPr="004A6CE0">
              <w:t>Ресурси</w:t>
            </w:r>
            <w:proofErr w:type="spellEnd"/>
            <w:r w:rsidRPr="004A6CE0">
              <w:t xml:space="preserve"> в </w:t>
            </w:r>
            <w:proofErr w:type="spellStart"/>
            <w:r w:rsidRPr="004A6CE0">
              <w:t>інтернеті</w:t>
            </w:r>
            <w:proofErr w:type="spellEnd"/>
          </w:p>
        </w:tc>
        <w:tc>
          <w:tcPr>
            <w:tcW w:w="1254" w:type="dxa"/>
            <w:shd w:val="clear" w:color="auto" w:fill="auto"/>
          </w:tcPr>
          <w:p w14:paraId="448A852C" w14:textId="77777777" w:rsidR="009E5073" w:rsidRPr="004A6CE0" w:rsidRDefault="009E5073" w:rsidP="001A6AD0">
            <w:pPr>
              <w:jc w:val="both"/>
              <w:rPr>
                <w:rFonts w:ascii="Garamond" w:hAnsi="Garamond" w:cs="Garamond"/>
                <w:i/>
                <w:lang w:val="uk-UA"/>
              </w:rPr>
            </w:pPr>
            <w:proofErr w:type="spellStart"/>
            <w:r w:rsidRPr="004A6CE0">
              <w:t>Завдання</w:t>
            </w:r>
            <w:proofErr w:type="spellEnd"/>
            <w:r w:rsidRPr="004A6CE0">
              <w:t>, год</w:t>
            </w:r>
          </w:p>
        </w:tc>
        <w:tc>
          <w:tcPr>
            <w:tcW w:w="1842" w:type="dxa"/>
            <w:shd w:val="clear" w:color="auto" w:fill="auto"/>
          </w:tcPr>
          <w:p w14:paraId="1123CE84" w14:textId="77777777" w:rsidR="009E5073" w:rsidRPr="004A6CE0" w:rsidRDefault="009E5073" w:rsidP="001A6AD0">
            <w:pPr>
              <w:jc w:val="both"/>
              <w:rPr>
                <w:rFonts w:ascii="Garamond" w:hAnsi="Garamond" w:cs="Garamond"/>
                <w:i/>
                <w:lang w:val="uk-UA"/>
              </w:rPr>
            </w:pPr>
            <w:proofErr w:type="spellStart"/>
            <w:r w:rsidRPr="004A6CE0">
              <w:t>Термін</w:t>
            </w:r>
            <w:proofErr w:type="spellEnd"/>
            <w:r w:rsidRPr="004A6CE0">
              <w:t xml:space="preserve"> </w:t>
            </w:r>
            <w:proofErr w:type="spellStart"/>
            <w:r w:rsidRPr="004A6CE0">
              <w:t>виконання</w:t>
            </w:r>
            <w:proofErr w:type="spellEnd"/>
          </w:p>
        </w:tc>
      </w:tr>
      <w:tr w:rsidR="00ED03C4" w:rsidRPr="004A6CE0" w14:paraId="02E15B97" w14:textId="77777777" w:rsidTr="00025A1B">
        <w:tc>
          <w:tcPr>
            <w:tcW w:w="784" w:type="dxa"/>
            <w:shd w:val="clear" w:color="auto" w:fill="auto"/>
          </w:tcPr>
          <w:p w14:paraId="5F13D27C" w14:textId="40D18A70" w:rsidR="009E5073" w:rsidRPr="004A6CE0" w:rsidRDefault="008E2C46" w:rsidP="001A6AD0">
            <w:pPr>
              <w:jc w:val="both"/>
              <w:rPr>
                <w:rFonts w:ascii="Garamond" w:hAnsi="Garamond" w:cs="Garamond"/>
                <w:i/>
                <w:lang w:val="uk-UA"/>
              </w:rPr>
            </w:pPr>
            <w:r>
              <w:rPr>
                <w:rFonts w:ascii="Garamond" w:hAnsi="Garamond" w:cs="Garamond"/>
                <w:i/>
                <w:lang w:val="uk-UA"/>
              </w:rPr>
              <w:t>1</w:t>
            </w:r>
          </w:p>
        </w:tc>
        <w:tc>
          <w:tcPr>
            <w:tcW w:w="2405" w:type="dxa"/>
            <w:shd w:val="clear" w:color="auto" w:fill="auto"/>
          </w:tcPr>
          <w:p w14:paraId="7C7A334C" w14:textId="77777777" w:rsidR="003448C3" w:rsidRPr="00025A1B" w:rsidRDefault="003448C3" w:rsidP="001A6AD0">
            <w:pPr>
              <w:jc w:val="both"/>
              <w:rPr>
                <w:b/>
                <w:i/>
                <w:sz w:val="20"/>
                <w:szCs w:val="20"/>
                <w:lang w:val="uk-UA"/>
              </w:rPr>
            </w:pPr>
            <w:r w:rsidRPr="008E2C46">
              <w:rPr>
                <w:b/>
                <w:sz w:val="20"/>
                <w:szCs w:val="20"/>
                <w:lang w:val="uk-UA"/>
              </w:rPr>
              <w:t xml:space="preserve">Змістовний модуль 1. Практичні проблеми реалізації пенсійних прав </w:t>
            </w:r>
            <w:r w:rsidRPr="00025A1B">
              <w:rPr>
                <w:b/>
                <w:sz w:val="20"/>
                <w:szCs w:val="20"/>
                <w:lang w:val="uk-UA"/>
              </w:rPr>
              <w:t>громадян в Україні</w:t>
            </w:r>
            <w:r w:rsidRPr="00025A1B">
              <w:rPr>
                <w:b/>
                <w:i/>
                <w:sz w:val="20"/>
                <w:szCs w:val="20"/>
                <w:lang w:val="uk-UA"/>
              </w:rPr>
              <w:t>.</w:t>
            </w:r>
          </w:p>
          <w:p w14:paraId="1D85EA55" w14:textId="781BED3D" w:rsidR="00025A1B" w:rsidRPr="00970366" w:rsidRDefault="00025A1B" w:rsidP="00025A1B">
            <w:pPr>
              <w:jc w:val="both"/>
              <w:rPr>
                <w:sz w:val="20"/>
                <w:szCs w:val="20"/>
                <w:lang w:val="uk-UA"/>
              </w:rPr>
            </w:pPr>
            <w:r>
              <w:rPr>
                <w:b/>
                <w:i/>
                <w:sz w:val="20"/>
                <w:szCs w:val="20"/>
                <w:lang w:val="uk-UA"/>
              </w:rPr>
              <w:t>1</w:t>
            </w:r>
            <w:r w:rsidRPr="00970366">
              <w:rPr>
                <w:sz w:val="20"/>
                <w:szCs w:val="20"/>
                <w:lang w:val="uk-UA"/>
              </w:rPr>
              <w:t xml:space="preserve">)Практичні проблеми підтвердження </w:t>
            </w:r>
          </w:p>
          <w:p w14:paraId="25A7EC15" w14:textId="22E6F382" w:rsidR="007D2418" w:rsidRPr="00970366" w:rsidRDefault="00025A1B" w:rsidP="001A6AD0">
            <w:pPr>
              <w:jc w:val="both"/>
              <w:rPr>
                <w:sz w:val="20"/>
                <w:szCs w:val="20"/>
                <w:lang w:val="uk-UA"/>
              </w:rPr>
            </w:pPr>
            <w:proofErr w:type="spellStart"/>
            <w:r w:rsidRPr="00970366">
              <w:rPr>
                <w:sz w:val="20"/>
                <w:szCs w:val="20"/>
                <w:lang w:val="uk-UA"/>
              </w:rPr>
              <w:t>правовстановлювальних</w:t>
            </w:r>
            <w:proofErr w:type="spellEnd"/>
            <w:r w:rsidRPr="00970366">
              <w:rPr>
                <w:sz w:val="20"/>
                <w:szCs w:val="20"/>
                <w:lang w:val="uk-UA"/>
              </w:rPr>
              <w:t xml:space="preserve"> юридичних фактів  відповідно до Закону України  “Про загальнообов’язкове державне пенсійне страхування”.</w:t>
            </w:r>
          </w:p>
          <w:p w14:paraId="107542C1" w14:textId="6439756B" w:rsidR="00025A1B" w:rsidRPr="00970366" w:rsidRDefault="00025A1B" w:rsidP="00025A1B">
            <w:pPr>
              <w:jc w:val="both"/>
              <w:rPr>
                <w:sz w:val="20"/>
                <w:szCs w:val="20"/>
                <w:lang w:val="uk-UA"/>
              </w:rPr>
            </w:pPr>
            <w:r w:rsidRPr="00970366">
              <w:rPr>
                <w:sz w:val="20"/>
                <w:szCs w:val="20"/>
                <w:lang w:val="uk-UA"/>
              </w:rPr>
              <w:t xml:space="preserve">2) Практичні проблеми підтвердження </w:t>
            </w:r>
          </w:p>
          <w:p w14:paraId="49476F5B" w14:textId="03443835" w:rsidR="00025A1B" w:rsidRPr="00970366" w:rsidRDefault="00025A1B" w:rsidP="00025A1B">
            <w:pPr>
              <w:jc w:val="both"/>
              <w:rPr>
                <w:sz w:val="20"/>
                <w:szCs w:val="20"/>
                <w:lang w:val="uk-UA"/>
              </w:rPr>
            </w:pPr>
            <w:proofErr w:type="spellStart"/>
            <w:r w:rsidRPr="00970366">
              <w:rPr>
                <w:sz w:val="20"/>
                <w:szCs w:val="20"/>
                <w:lang w:val="uk-UA"/>
              </w:rPr>
              <w:t>правовстановлювальних</w:t>
            </w:r>
            <w:proofErr w:type="spellEnd"/>
            <w:r w:rsidRPr="00970366">
              <w:rPr>
                <w:sz w:val="20"/>
                <w:szCs w:val="20"/>
                <w:lang w:val="uk-UA"/>
              </w:rPr>
              <w:t xml:space="preserve"> юридичних фактів  відповідно до законодавства України про пенсійне забезпечення, яке передбачає спеціальне </w:t>
            </w:r>
            <w:r w:rsidRPr="00970366">
              <w:rPr>
                <w:sz w:val="20"/>
                <w:szCs w:val="20"/>
                <w:lang w:val="uk-UA"/>
              </w:rPr>
              <w:lastRenderedPageBreak/>
              <w:t xml:space="preserve">пенсійне забезпечення.  </w:t>
            </w:r>
          </w:p>
          <w:p w14:paraId="167EC15B" w14:textId="77777777" w:rsidR="009E5073" w:rsidRPr="004A6CE0" w:rsidRDefault="009E5073" w:rsidP="001A6AD0">
            <w:pPr>
              <w:jc w:val="both"/>
              <w:rPr>
                <w:rFonts w:ascii="Garamond" w:hAnsi="Garamond" w:cs="Garamond"/>
                <w:i/>
                <w:lang w:val="uk-UA"/>
              </w:rPr>
            </w:pPr>
          </w:p>
        </w:tc>
        <w:tc>
          <w:tcPr>
            <w:tcW w:w="2187" w:type="dxa"/>
            <w:shd w:val="clear" w:color="auto" w:fill="auto"/>
          </w:tcPr>
          <w:p w14:paraId="4C920676" w14:textId="77777777" w:rsidR="009E5073" w:rsidRPr="00DA6ED9" w:rsidRDefault="00F54F60" w:rsidP="001A6AD0">
            <w:pPr>
              <w:jc w:val="both"/>
              <w:rPr>
                <w:lang w:val="uk-UA"/>
              </w:rPr>
            </w:pPr>
            <w:r w:rsidRPr="00DA6ED9">
              <w:rPr>
                <w:lang w:val="uk-UA"/>
              </w:rPr>
              <w:lastRenderedPageBreak/>
              <w:t>Лекція 2 год</w:t>
            </w:r>
          </w:p>
          <w:p w14:paraId="17CC7F87" w14:textId="0722A8FD" w:rsidR="00F54F60" w:rsidRPr="00DA6ED9" w:rsidRDefault="00F54F60" w:rsidP="001A6AD0">
            <w:pPr>
              <w:jc w:val="both"/>
              <w:rPr>
                <w:lang w:val="uk-UA"/>
              </w:rPr>
            </w:pPr>
            <w:r w:rsidRPr="00DA6ED9">
              <w:rPr>
                <w:lang w:val="uk-UA"/>
              </w:rPr>
              <w:t>Практичне 4</w:t>
            </w:r>
          </w:p>
        </w:tc>
        <w:tc>
          <w:tcPr>
            <w:tcW w:w="2092" w:type="dxa"/>
            <w:shd w:val="clear" w:color="auto" w:fill="auto"/>
          </w:tcPr>
          <w:p w14:paraId="1B450BC0" w14:textId="7F6FEDA8" w:rsidR="009E5073" w:rsidRPr="00DA6ED9" w:rsidRDefault="00ED03C4" w:rsidP="001A6AD0">
            <w:pPr>
              <w:jc w:val="both"/>
              <w:rPr>
                <w:lang w:val="uk-UA"/>
              </w:rPr>
            </w:pPr>
            <w:r w:rsidRPr="00DA6ED9">
              <w:rPr>
                <w:lang w:val="uk-UA"/>
              </w:rPr>
              <w:t>№9, 55-86</w:t>
            </w:r>
          </w:p>
        </w:tc>
        <w:tc>
          <w:tcPr>
            <w:tcW w:w="1254" w:type="dxa"/>
            <w:shd w:val="clear" w:color="auto" w:fill="auto"/>
          </w:tcPr>
          <w:p w14:paraId="42E096F2" w14:textId="4C149A96" w:rsidR="009E5073" w:rsidRPr="00DA6ED9" w:rsidRDefault="00926853" w:rsidP="001A6AD0">
            <w:pPr>
              <w:jc w:val="both"/>
              <w:rPr>
                <w:lang w:val="uk-UA"/>
              </w:rPr>
            </w:pPr>
            <w:r w:rsidRPr="00DA6ED9">
              <w:rPr>
                <w:lang w:val="uk-UA"/>
              </w:rPr>
              <w:t>Письмова робота №1</w:t>
            </w:r>
          </w:p>
        </w:tc>
        <w:tc>
          <w:tcPr>
            <w:tcW w:w="1842" w:type="dxa"/>
            <w:shd w:val="clear" w:color="auto" w:fill="auto"/>
          </w:tcPr>
          <w:p w14:paraId="3D0BA5B8" w14:textId="77777777" w:rsidR="009E5073" w:rsidRPr="004A6CE0" w:rsidRDefault="009E5073" w:rsidP="001A6AD0">
            <w:pPr>
              <w:jc w:val="both"/>
              <w:rPr>
                <w:rFonts w:ascii="Garamond" w:hAnsi="Garamond" w:cs="Garamond"/>
                <w:i/>
                <w:lang w:val="uk-UA"/>
              </w:rPr>
            </w:pPr>
          </w:p>
        </w:tc>
      </w:tr>
      <w:tr w:rsidR="00ED03C4" w:rsidRPr="004A6CE0" w14:paraId="0D8EF820" w14:textId="77777777" w:rsidTr="00025A1B">
        <w:trPr>
          <w:trHeight w:val="253"/>
        </w:trPr>
        <w:tc>
          <w:tcPr>
            <w:tcW w:w="784" w:type="dxa"/>
            <w:shd w:val="clear" w:color="auto" w:fill="auto"/>
          </w:tcPr>
          <w:p w14:paraId="6405AC0B" w14:textId="5487D464" w:rsidR="008E2C46" w:rsidRPr="004A6CE0" w:rsidRDefault="004C01E6" w:rsidP="001A6AD0">
            <w:pPr>
              <w:jc w:val="both"/>
              <w:rPr>
                <w:rFonts w:ascii="Garamond" w:hAnsi="Garamond" w:cs="Garamond"/>
                <w:i/>
                <w:lang w:val="uk-UA"/>
              </w:rPr>
            </w:pPr>
            <w:r>
              <w:rPr>
                <w:rFonts w:ascii="Garamond" w:hAnsi="Garamond" w:cs="Garamond"/>
                <w:i/>
                <w:lang w:val="uk-UA"/>
              </w:rPr>
              <w:lastRenderedPageBreak/>
              <w:t>2</w:t>
            </w:r>
          </w:p>
        </w:tc>
        <w:tc>
          <w:tcPr>
            <w:tcW w:w="2405" w:type="dxa"/>
            <w:shd w:val="clear" w:color="auto" w:fill="auto"/>
          </w:tcPr>
          <w:p w14:paraId="28461E4C" w14:textId="77777777" w:rsidR="00221E19" w:rsidRPr="00221E19" w:rsidRDefault="00221E19" w:rsidP="001A6AD0">
            <w:pPr>
              <w:jc w:val="both"/>
              <w:rPr>
                <w:b/>
                <w:sz w:val="20"/>
                <w:szCs w:val="20"/>
                <w:lang w:val="uk-UA"/>
              </w:rPr>
            </w:pPr>
            <w:r w:rsidRPr="00221E19">
              <w:rPr>
                <w:b/>
                <w:sz w:val="20"/>
                <w:szCs w:val="20"/>
                <w:lang w:val="uk-UA"/>
              </w:rPr>
              <w:t xml:space="preserve">Змістовний модуль 2. Рішення Європейського суду з прав людини та </w:t>
            </w:r>
            <w:r w:rsidRPr="00221E19">
              <w:rPr>
                <w:b/>
                <w:bCs/>
                <w:sz w:val="20"/>
                <w:szCs w:val="20"/>
                <w:lang w:val="uk-UA"/>
              </w:rPr>
              <w:t xml:space="preserve">Конституційного суду України </w:t>
            </w:r>
            <w:r w:rsidRPr="00221E19">
              <w:rPr>
                <w:b/>
                <w:sz w:val="20"/>
                <w:szCs w:val="20"/>
                <w:lang w:val="uk-UA"/>
              </w:rPr>
              <w:t>у механізмі реалізації пенсійних прав громадян в Україні.</w:t>
            </w:r>
          </w:p>
          <w:p w14:paraId="6764E003" w14:textId="36548EE2" w:rsidR="008E2C46" w:rsidRDefault="00ED03C4" w:rsidP="00ED03C4">
            <w:pPr>
              <w:jc w:val="both"/>
              <w:rPr>
                <w:sz w:val="20"/>
                <w:szCs w:val="20"/>
                <w:lang w:val="uk-UA"/>
              </w:rPr>
            </w:pPr>
            <w:r>
              <w:rPr>
                <w:sz w:val="20"/>
                <w:szCs w:val="20"/>
                <w:lang w:val="uk-UA"/>
              </w:rPr>
              <w:t>1)</w:t>
            </w:r>
            <w:r w:rsidR="00B34857" w:rsidRPr="00ED03C4">
              <w:rPr>
                <w:sz w:val="20"/>
                <w:szCs w:val="20"/>
                <w:lang w:val="uk-UA"/>
              </w:rPr>
              <w:t>Рішення Європейського Суду з прав людини та їх вплив на реалізацію пенсійних прав громадян в Україні</w:t>
            </w:r>
            <w:r>
              <w:rPr>
                <w:sz w:val="20"/>
                <w:szCs w:val="20"/>
                <w:lang w:val="uk-UA"/>
              </w:rPr>
              <w:t>.</w:t>
            </w:r>
          </w:p>
          <w:p w14:paraId="64FA4878" w14:textId="77777777" w:rsidR="00ED03C4" w:rsidRPr="00ED03C4" w:rsidRDefault="00ED03C4" w:rsidP="00ED03C4">
            <w:pPr>
              <w:ind w:left="360"/>
              <w:jc w:val="both"/>
              <w:rPr>
                <w:b/>
                <w:sz w:val="20"/>
                <w:szCs w:val="20"/>
                <w:lang w:val="uk-UA"/>
              </w:rPr>
            </w:pPr>
          </w:p>
          <w:p w14:paraId="48A61FE0" w14:textId="247BA423" w:rsidR="00ED03C4" w:rsidRPr="00ED03C4" w:rsidRDefault="00ED03C4" w:rsidP="00ED03C4">
            <w:pPr>
              <w:jc w:val="both"/>
              <w:rPr>
                <w:b/>
                <w:sz w:val="20"/>
                <w:szCs w:val="20"/>
                <w:lang w:val="uk-UA"/>
              </w:rPr>
            </w:pPr>
            <w:r>
              <w:rPr>
                <w:bCs/>
                <w:sz w:val="20"/>
                <w:szCs w:val="20"/>
                <w:lang w:val="uk-UA"/>
              </w:rPr>
              <w:t>2)</w:t>
            </w:r>
            <w:r w:rsidRPr="00ED03C4">
              <w:rPr>
                <w:bCs/>
                <w:sz w:val="20"/>
                <w:szCs w:val="20"/>
                <w:lang w:val="uk-UA"/>
              </w:rPr>
              <w:t>Рішення Конституційного Суду України та їх вплив на право- реалізаційну практику у сфері пенсійного забезпечення громадян</w:t>
            </w:r>
          </w:p>
        </w:tc>
        <w:tc>
          <w:tcPr>
            <w:tcW w:w="2187" w:type="dxa"/>
            <w:shd w:val="clear" w:color="auto" w:fill="auto"/>
          </w:tcPr>
          <w:p w14:paraId="5807AF84" w14:textId="2FF80519" w:rsidR="00F54F60" w:rsidRPr="00DA6ED9" w:rsidRDefault="00F54F60" w:rsidP="001A6AD0">
            <w:pPr>
              <w:jc w:val="both"/>
              <w:rPr>
                <w:lang w:val="uk-UA"/>
              </w:rPr>
            </w:pPr>
            <w:r w:rsidRPr="00DA6ED9">
              <w:rPr>
                <w:lang w:val="uk-UA"/>
              </w:rPr>
              <w:t>Л</w:t>
            </w:r>
            <w:r w:rsidR="00ED03C4" w:rsidRPr="00DA6ED9">
              <w:rPr>
                <w:lang w:val="uk-UA"/>
              </w:rPr>
              <w:t>екція 4</w:t>
            </w:r>
            <w:r w:rsidRPr="00DA6ED9">
              <w:rPr>
                <w:lang w:val="uk-UA"/>
              </w:rPr>
              <w:t xml:space="preserve"> год</w:t>
            </w:r>
          </w:p>
          <w:p w14:paraId="39E54D12" w14:textId="59865094" w:rsidR="00F54F60" w:rsidRPr="00DA6ED9" w:rsidRDefault="004B00A3" w:rsidP="001A6AD0">
            <w:pPr>
              <w:jc w:val="both"/>
              <w:rPr>
                <w:lang w:val="uk-UA"/>
              </w:rPr>
            </w:pPr>
            <w:r w:rsidRPr="00DA6ED9">
              <w:rPr>
                <w:lang w:val="uk-UA"/>
              </w:rPr>
              <w:t>Практичне 6</w:t>
            </w:r>
            <w:r w:rsidR="005B4595" w:rsidRPr="00DA6ED9">
              <w:rPr>
                <w:lang w:val="uk-UA"/>
              </w:rPr>
              <w:t xml:space="preserve"> год</w:t>
            </w:r>
          </w:p>
          <w:p w14:paraId="2821B436" w14:textId="77777777" w:rsidR="008E2C46" w:rsidRPr="00DA6ED9" w:rsidRDefault="008E2C46" w:rsidP="001A6AD0">
            <w:pPr>
              <w:jc w:val="both"/>
              <w:rPr>
                <w:lang w:val="uk-UA"/>
              </w:rPr>
            </w:pPr>
          </w:p>
        </w:tc>
        <w:tc>
          <w:tcPr>
            <w:tcW w:w="2092" w:type="dxa"/>
            <w:shd w:val="clear" w:color="auto" w:fill="auto"/>
          </w:tcPr>
          <w:p w14:paraId="300B3B4F" w14:textId="22EB3F9B" w:rsidR="008E2C46" w:rsidRPr="00DA6ED9" w:rsidRDefault="00ED03C4" w:rsidP="00ED03C4">
            <w:pPr>
              <w:jc w:val="both"/>
              <w:rPr>
                <w:lang w:val="uk-UA"/>
              </w:rPr>
            </w:pPr>
            <w:r w:rsidRPr="00DA6ED9">
              <w:rPr>
                <w:lang w:val="uk-UA"/>
              </w:rPr>
              <w:t>1-8, 11-34, 35-54</w:t>
            </w:r>
          </w:p>
        </w:tc>
        <w:tc>
          <w:tcPr>
            <w:tcW w:w="1254" w:type="dxa"/>
            <w:shd w:val="clear" w:color="auto" w:fill="auto"/>
          </w:tcPr>
          <w:p w14:paraId="39EF0850" w14:textId="08E2ED61" w:rsidR="008E2C46" w:rsidRPr="00DA6ED9" w:rsidRDefault="005B4595" w:rsidP="001A6AD0">
            <w:pPr>
              <w:jc w:val="both"/>
              <w:rPr>
                <w:lang w:val="uk-UA"/>
              </w:rPr>
            </w:pPr>
            <w:r w:rsidRPr="00DA6ED9">
              <w:rPr>
                <w:lang w:val="uk-UA"/>
              </w:rPr>
              <w:t>Письмова робота №2</w:t>
            </w:r>
          </w:p>
        </w:tc>
        <w:tc>
          <w:tcPr>
            <w:tcW w:w="1842" w:type="dxa"/>
            <w:shd w:val="clear" w:color="auto" w:fill="auto"/>
          </w:tcPr>
          <w:p w14:paraId="221EAAE6" w14:textId="77777777" w:rsidR="008E2C46" w:rsidRPr="004A6CE0" w:rsidRDefault="008E2C46" w:rsidP="001A6AD0">
            <w:pPr>
              <w:jc w:val="both"/>
              <w:rPr>
                <w:rFonts w:ascii="Garamond" w:hAnsi="Garamond" w:cs="Garamond"/>
                <w:i/>
                <w:lang w:val="uk-UA"/>
              </w:rPr>
            </w:pPr>
          </w:p>
        </w:tc>
      </w:tr>
      <w:tr w:rsidR="00ED03C4" w:rsidRPr="004A6CE0" w14:paraId="64913CE8" w14:textId="77777777" w:rsidTr="00025A1B">
        <w:trPr>
          <w:trHeight w:val="253"/>
        </w:trPr>
        <w:tc>
          <w:tcPr>
            <w:tcW w:w="784" w:type="dxa"/>
            <w:shd w:val="clear" w:color="auto" w:fill="auto"/>
          </w:tcPr>
          <w:p w14:paraId="2C7733D1" w14:textId="654CDB62" w:rsidR="008E2C46" w:rsidRDefault="00ED03C4" w:rsidP="001A6AD0">
            <w:pPr>
              <w:jc w:val="both"/>
              <w:rPr>
                <w:rFonts w:ascii="Garamond" w:hAnsi="Garamond" w:cs="Garamond"/>
                <w:i/>
                <w:lang w:val="uk-UA"/>
              </w:rPr>
            </w:pPr>
            <w:r>
              <w:rPr>
                <w:rFonts w:ascii="Garamond" w:hAnsi="Garamond" w:cs="Garamond"/>
                <w:i/>
                <w:lang w:val="uk-UA"/>
              </w:rPr>
              <w:t>3</w:t>
            </w:r>
          </w:p>
        </w:tc>
        <w:tc>
          <w:tcPr>
            <w:tcW w:w="2405" w:type="dxa"/>
            <w:shd w:val="clear" w:color="auto" w:fill="auto"/>
          </w:tcPr>
          <w:p w14:paraId="4D39F1F9" w14:textId="77777777" w:rsidR="00221E19" w:rsidRDefault="00221E19" w:rsidP="001A6AD0">
            <w:pPr>
              <w:jc w:val="both"/>
              <w:rPr>
                <w:b/>
                <w:sz w:val="20"/>
                <w:szCs w:val="20"/>
                <w:lang w:val="uk-UA"/>
              </w:rPr>
            </w:pPr>
            <w:r w:rsidRPr="00221E19">
              <w:rPr>
                <w:b/>
                <w:sz w:val="20"/>
                <w:szCs w:val="20"/>
                <w:lang w:val="uk-UA"/>
              </w:rPr>
              <w:t>Змістовний модуль 3. Правові позиції Верховного Суду у сфері правовідносин пенсійного забезпечення громадян.</w:t>
            </w:r>
          </w:p>
          <w:p w14:paraId="681BA3FB" w14:textId="22244B36" w:rsidR="00ED03C4" w:rsidRDefault="00ED03C4" w:rsidP="00ED03C4">
            <w:pPr>
              <w:jc w:val="both"/>
              <w:rPr>
                <w:sz w:val="20"/>
                <w:szCs w:val="20"/>
                <w:lang w:val="uk-UA"/>
              </w:rPr>
            </w:pPr>
            <w:r>
              <w:rPr>
                <w:sz w:val="20"/>
                <w:szCs w:val="20"/>
                <w:lang w:val="uk-UA"/>
              </w:rPr>
              <w:t>1)</w:t>
            </w:r>
            <w:r w:rsidRPr="00ED03C4">
              <w:rPr>
                <w:sz w:val="20"/>
                <w:szCs w:val="20"/>
                <w:lang w:val="uk-UA"/>
              </w:rPr>
              <w:t>Правові позиції Верховного Суду</w:t>
            </w:r>
            <w:r>
              <w:rPr>
                <w:sz w:val="20"/>
                <w:szCs w:val="20"/>
                <w:lang w:val="uk-UA"/>
              </w:rPr>
              <w:t xml:space="preserve"> із застосування Закону України “Про загальнообов’язкове  державне пенсійне страхування”.</w:t>
            </w:r>
          </w:p>
          <w:p w14:paraId="740BB250" w14:textId="2386E9D3" w:rsidR="008E2C46" w:rsidRPr="00DA6ED9" w:rsidRDefault="00ED03C4" w:rsidP="001A6AD0">
            <w:pPr>
              <w:jc w:val="both"/>
              <w:rPr>
                <w:sz w:val="20"/>
                <w:szCs w:val="20"/>
                <w:lang w:val="uk-UA"/>
              </w:rPr>
            </w:pPr>
            <w:r>
              <w:rPr>
                <w:sz w:val="20"/>
                <w:szCs w:val="20"/>
                <w:lang w:val="uk-UA"/>
              </w:rPr>
              <w:t>2)</w:t>
            </w:r>
            <w:r w:rsidRPr="00ED03C4">
              <w:rPr>
                <w:sz w:val="20"/>
                <w:szCs w:val="20"/>
                <w:lang w:val="uk-UA"/>
              </w:rPr>
              <w:t xml:space="preserve"> Правові позиції Верховного Суду</w:t>
            </w:r>
            <w:r>
              <w:rPr>
                <w:sz w:val="20"/>
                <w:szCs w:val="20"/>
                <w:lang w:val="uk-UA"/>
              </w:rPr>
              <w:t xml:space="preserve"> із застосування законодавства України, яке передбачає інші </w:t>
            </w:r>
            <w:r w:rsidR="004B00A3">
              <w:rPr>
                <w:sz w:val="20"/>
                <w:szCs w:val="20"/>
                <w:lang w:val="uk-UA"/>
              </w:rPr>
              <w:t xml:space="preserve">(спеціальні) </w:t>
            </w:r>
            <w:r>
              <w:rPr>
                <w:sz w:val="20"/>
                <w:szCs w:val="20"/>
                <w:lang w:val="uk-UA"/>
              </w:rPr>
              <w:t>види</w:t>
            </w:r>
            <w:r w:rsidR="004B00A3">
              <w:rPr>
                <w:sz w:val="20"/>
                <w:szCs w:val="20"/>
                <w:lang w:val="uk-UA"/>
              </w:rPr>
              <w:t xml:space="preserve"> пенсійного забезпечення.</w:t>
            </w:r>
          </w:p>
        </w:tc>
        <w:tc>
          <w:tcPr>
            <w:tcW w:w="2187" w:type="dxa"/>
            <w:shd w:val="clear" w:color="auto" w:fill="auto"/>
          </w:tcPr>
          <w:p w14:paraId="094E17AA" w14:textId="77777777" w:rsidR="008E2C46" w:rsidRPr="00DA6ED9" w:rsidRDefault="00F54F60" w:rsidP="001A6AD0">
            <w:pPr>
              <w:jc w:val="both"/>
              <w:rPr>
                <w:lang w:val="uk-UA"/>
              </w:rPr>
            </w:pPr>
            <w:r w:rsidRPr="00DA6ED9">
              <w:rPr>
                <w:lang w:val="uk-UA"/>
              </w:rPr>
              <w:t>Лекція 2 год</w:t>
            </w:r>
          </w:p>
          <w:p w14:paraId="0209B04C" w14:textId="4E4F7CC3" w:rsidR="00F54F60" w:rsidRPr="00DA6ED9" w:rsidRDefault="00F54F60" w:rsidP="001A6AD0">
            <w:pPr>
              <w:jc w:val="both"/>
              <w:rPr>
                <w:lang w:val="uk-UA"/>
              </w:rPr>
            </w:pPr>
            <w:r w:rsidRPr="00DA6ED9">
              <w:rPr>
                <w:lang w:val="uk-UA"/>
              </w:rPr>
              <w:t xml:space="preserve">Практичне </w:t>
            </w:r>
            <w:r w:rsidR="004B00A3" w:rsidRPr="00DA6ED9">
              <w:rPr>
                <w:lang w:val="uk-UA"/>
              </w:rPr>
              <w:t>14</w:t>
            </w:r>
            <w:r w:rsidR="005B4595" w:rsidRPr="00DA6ED9">
              <w:rPr>
                <w:lang w:val="uk-UA"/>
              </w:rPr>
              <w:t xml:space="preserve"> год</w:t>
            </w:r>
          </w:p>
          <w:p w14:paraId="7FC49BA6" w14:textId="606C016D" w:rsidR="00F54F60" w:rsidRPr="00DA6ED9" w:rsidRDefault="00F54F60" w:rsidP="001A6AD0">
            <w:pPr>
              <w:jc w:val="both"/>
              <w:rPr>
                <w:lang w:val="uk-UA"/>
              </w:rPr>
            </w:pPr>
          </w:p>
        </w:tc>
        <w:tc>
          <w:tcPr>
            <w:tcW w:w="2092" w:type="dxa"/>
            <w:shd w:val="clear" w:color="auto" w:fill="auto"/>
          </w:tcPr>
          <w:p w14:paraId="3494216C" w14:textId="35F3E16B" w:rsidR="008E2C46" w:rsidRPr="00DA6ED9" w:rsidRDefault="00ED03C4" w:rsidP="001A6AD0">
            <w:pPr>
              <w:jc w:val="both"/>
              <w:rPr>
                <w:lang w:val="uk-UA"/>
              </w:rPr>
            </w:pPr>
            <w:r w:rsidRPr="00DA6ED9">
              <w:rPr>
                <w:lang w:val="uk-UA"/>
              </w:rPr>
              <w:t>№10, 55-86</w:t>
            </w:r>
          </w:p>
        </w:tc>
        <w:tc>
          <w:tcPr>
            <w:tcW w:w="1254" w:type="dxa"/>
            <w:shd w:val="clear" w:color="auto" w:fill="auto"/>
          </w:tcPr>
          <w:p w14:paraId="31D2F84A" w14:textId="577908BC" w:rsidR="008E2C46" w:rsidRPr="00DA6ED9" w:rsidRDefault="005B4595" w:rsidP="001A6AD0">
            <w:pPr>
              <w:jc w:val="both"/>
              <w:rPr>
                <w:lang w:val="uk-UA"/>
              </w:rPr>
            </w:pPr>
            <w:r w:rsidRPr="00DA6ED9">
              <w:rPr>
                <w:lang w:val="uk-UA"/>
              </w:rPr>
              <w:t>Письмова робота №</w:t>
            </w:r>
            <w:r w:rsidR="00B22CA8" w:rsidRPr="00DA6ED9">
              <w:rPr>
                <w:lang w:val="uk-UA"/>
              </w:rPr>
              <w:t xml:space="preserve">3 </w:t>
            </w:r>
            <w:r w:rsidRPr="00DA6ED9">
              <w:rPr>
                <w:lang w:val="uk-UA"/>
              </w:rPr>
              <w:t>4</w:t>
            </w:r>
          </w:p>
        </w:tc>
        <w:tc>
          <w:tcPr>
            <w:tcW w:w="1842" w:type="dxa"/>
            <w:shd w:val="clear" w:color="auto" w:fill="auto"/>
          </w:tcPr>
          <w:p w14:paraId="058BF060" w14:textId="77777777" w:rsidR="008E2C46" w:rsidRPr="004A6CE0" w:rsidRDefault="008E2C46" w:rsidP="001A6AD0">
            <w:pPr>
              <w:jc w:val="both"/>
              <w:rPr>
                <w:rFonts w:ascii="Garamond" w:hAnsi="Garamond" w:cs="Garamond"/>
                <w:i/>
                <w:lang w:val="uk-UA"/>
              </w:rPr>
            </w:pPr>
          </w:p>
        </w:tc>
      </w:tr>
    </w:tbl>
    <w:p w14:paraId="473F8736" w14:textId="1A136490" w:rsidR="001B045A" w:rsidRPr="004A6CE0" w:rsidRDefault="00895EFD" w:rsidP="001A6AD0">
      <w:pPr>
        <w:jc w:val="both"/>
        <w:rPr>
          <w:lang w:val="uk-UA"/>
        </w:rPr>
      </w:pPr>
    </w:p>
    <w:sectPr w:rsidR="001B045A" w:rsidRPr="004A6CE0" w:rsidSect="00A9663D">
      <w:pgSz w:w="11900" w:h="16840"/>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3B3B"/>
    <w:multiLevelType w:val="hybridMultilevel"/>
    <w:tmpl w:val="2A403F4A"/>
    <w:lvl w:ilvl="0" w:tplc="54E077A4">
      <w:start w:val="1"/>
      <w:numFmt w:val="decimal"/>
      <w:lvlText w:val="%1."/>
      <w:lvlJc w:val="left"/>
      <w:pPr>
        <w:ind w:left="720" w:hanging="360"/>
      </w:pPr>
      <w:rPr>
        <w:rFonts w:ascii="Times New Roman" w:hAnsi="Times New Roman" w:cs="Times New Roman" w:hint="default"/>
        <w:b w:val="0"/>
        <w:sz w:val="28"/>
        <w:szCs w:val="28"/>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C0D0EC9"/>
    <w:multiLevelType w:val="hybridMultilevel"/>
    <w:tmpl w:val="D3063ED8"/>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9575D9C"/>
    <w:multiLevelType w:val="hybridMultilevel"/>
    <w:tmpl w:val="7AB848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BA31EB"/>
    <w:multiLevelType w:val="hybridMultilevel"/>
    <w:tmpl w:val="E1EA6DB2"/>
    <w:lvl w:ilvl="0" w:tplc="A8E00AAC">
      <w:start w:val="1"/>
      <w:numFmt w:val="decimal"/>
      <w:pStyle w:val="1"/>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A1339D"/>
    <w:multiLevelType w:val="hybridMultilevel"/>
    <w:tmpl w:val="890E6AF0"/>
    <w:lvl w:ilvl="0" w:tplc="CA0A9FB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7C17B3"/>
    <w:multiLevelType w:val="hybridMultilevel"/>
    <w:tmpl w:val="43F466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C1E"/>
    <w:rsid w:val="00010312"/>
    <w:rsid w:val="00025067"/>
    <w:rsid w:val="00025A1B"/>
    <w:rsid w:val="00081FD4"/>
    <w:rsid w:val="000D0D55"/>
    <w:rsid w:val="001A6AD0"/>
    <w:rsid w:val="001E591D"/>
    <w:rsid w:val="00221E19"/>
    <w:rsid w:val="00234CEF"/>
    <w:rsid w:val="002B76E5"/>
    <w:rsid w:val="002D7D59"/>
    <w:rsid w:val="003437B2"/>
    <w:rsid w:val="003448C3"/>
    <w:rsid w:val="00353D2C"/>
    <w:rsid w:val="003A7550"/>
    <w:rsid w:val="003C034F"/>
    <w:rsid w:val="00457333"/>
    <w:rsid w:val="00473553"/>
    <w:rsid w:val="004A6CE0"/>
    <w:rsid w:val="004B00A3"/>
    <w:rsid w:val="004C01E6"/>
    <w:rsid w:val="004E222E"/>
    <w:rsid w:val="004E3F5A"/>
    <w:rsid w:val="005711EA"/>
    <w:rsid w:val="005B4595"/>
    <w:rsid w:val="005B562E"/>
    <w:rsid w:val="005E00E2"/>
    <w:rsid w:val="0062092B"/>
    <w:rsid w:val="006579B3"/>
    <w:rsid w:val="006B0867"/>
    <w:rsid w:val="006E1CC6"/>
    <w:rsid w:val="0071752C"/>
    <w:rsid w:val="00727F43"/>
    <w:rsid w:val="00766DC6"/>
    <w:rsid w:val="00792010"/>
    <w:rsid w:val="007D2418"/>
    <w:rsid w:val="00800C3A"/>
    <w:rsid w:val="00821631"/>
    <w:rsid w:val="00853C2B"/>
    <w:rsid w:val="008579ED"/>
    <w:rsid w:val="0087411F"/>
    <w:rsid w:val="00895EFD"/>
    <w:rsid w:val="008C2473"/>
    <w:rsid w:val="008C68C1"/>
    <w:rsid w:val="008E2C46"/>
    <w:rsid w:val="008F0115"/>
    <w:rsid w:val="008F087B"/>
    <w:rsid w:val="00926853"/>
    <w:rsid w:val="00970366"/>
    <w:rsid w:val="009B3ED2"/>
    <w:rsid w:val="009E5073"/>
    <w:rsid w:val="00A6066F"/>
    <w:rsid w:val="00A81C2B"/>
    <w:rsid w:val="00A9663D"/>
    <w:rsid w:val="00B22CA8"/>
    <w:rsid w:val="00B34857"/>
    <w:rsid w:val="00B42EBB"/>
    <w:rsid w:val="00B90AA7"/>
    <w:rsid w:val="00BB63BF"/>
    <w:rsid w:val="00C137E0"/>
    <w:rsid w:val="00C31925"/>
    <w:rsid w:val="00C47E09"/>
    <w:rsid w:val="00C60781"/>
    <w:rsid w:val="00CC1006"/>
    <w:rsid w:val="00CF2B33"/>
    <w:rsid w:val="00D02E2B"/>
    <w:rsid w:val="00D33CD7"/>
    <w:rsid w:val="00D8351C"/>
    <w:rsid w:val="00DA6ED9"/>
    <w:rsid w:val="00DB130F"/>
    <w:rsid w:val="00E032F4"/>
    <w:rsid w:val="00E14C1E"/>
    <w:rsid w:val="00E23BC8"/>
    <w:rsid w:val="00E83BCF"/>
    <w:rsid w:val="00EC56D6"/>
    <w:rsid w:val="00ED03C4"/>
    <w:rsid w:val="00EF13C0"/>
    <w:rsid w:val="00F54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571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7B2"/>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073"/>
    <w:pPr>
      <w:spacing w:after="200" w:line="276" w:lineRule="auto"/>
      <w:ind w:left="720"/>
      <w:contextualSpacing/>
    </w:pPr>
    <w:rPr>
      <w:rFonts w:ascii="Calibri" w:eastAsia="Calibri" w:hAnsi="Calibri" w:cs="Calibri"/>
      <w:color w:val="000000"/>
      <w:sz w:val="22"/>
      <w:szCs w:val="22"/>
      <w:lang w:val="tr-TR" w:eastAsia="en-US"/>
    </w:rPr>
  </w:style>
  <w:style w:type="character" w:styleId="a4">
    <w:name w:val="Hyperlink"/>
    <w:basedOn w:val="a0"/>
    <w:uiPriority w:val="99"/>
    <w:unhideWhenUsed/>
    <w:rsid w:val="006579B3"/>
    <w:rPr>
      <w:color w:val="0563C1" w:themeColor="hyperlink"/>
      <w:u w:val="single"/>
    </w:rPr>
  </w:style>
  <w:style w:type="paragraph" w:customStyle="1" w:styleId="1">
    <w:name w:val="Абзац списка1"/>
    <w:autoRedefine/>
    <w:rsid w:val="008F0115"/>
    <w:pPr>
      <w:numPr>
        <w:numId w:val="2"/>
      </w:numPr>
      <w:spacing w:after="200"/>
      <w:jc w:val="both"/>
    </w:pPr>
    <w:rPr>
      <w:rFonts w:ascii="Times New Roman" w:eastAsia="Calibri" w:hAnsi="Times New Roman" w:cs="Times New Roman"/>
      <w:color w:val="000000" w:themeColor="text1"/>
      <w:sz w:val="20"/>
      <w:szCs w:val="20"/>
      <w:u w:color="000000"/>
      <w:lang w:val="uk-UA" w:eastAsia="uk-UA"/>
    </w:rPr>
  </w:style>
  <w:style w:type="character" w:customStyle="1" w:styleId="Hyperlink0">
    <w:name w:val="Hyperlink.0"/>
    <w:basedOn w:val="a4"/>
    <w:rsid w:val="0071752C"/>
    <w:rPr>
      <w:color w:val="0563C1" w:themeColor="hyperlink"/>
      <w:u w:val="single"/>
    </w:rPr>
  </w:style>
  <w:style w:type="character" w:customStyle="1" w:styleId="a5">
    <w:name w:val="Немає"/>
    <w:autoRedefine/>
    <w:rsid w:val="0071752C"/>
    <w:rPr>
      <w:lang w:val="ru-RU"/>
    </w:rPr>
  </w:style>
  <w:style w:type="character" w:styleId="a6">
    <w:name w:val="FollowedHyperlink"/>
    <w:basedOn w:val="a0"/>
    <w:uiPriority w:val="99"/>
    <w:semiHidden/>
    <w:unhideWhenUsed/>
    <w:rsid w:val="00D02E2B"/>
    <w:rPr>
      <w:color w:val="954F72" w:themeColor="followedHyperlink"/>
      <w:u w:val="single"/>
    </w:rPr>
  </w:style>
  <w:style w:type="paragraph" w:customStyle="1" w:styleId="p1">
    <w:name w:val="p1"/>
    <w:basedOn w:val="a"/>
    <w:rsid w:val="00EC56D6"/>
    <w:rPr>
      <w:rFonts w:ascii="Helvetica" w:hAnsi="Helvetica"/>
      <w:color w:val="0072BD"/>
      <w:sz w:val="21"/>
      <w:szCs w:val="21"/>
    </w:rPr>
  </w:style>
  <w:style w:type="character" w:customStyle="1" w:styleId="s6b621b36">
    <w:name w:val="s6b621b36"/>
    <w:basedOn w:val="a0"/>
    <w:rsid w:val="00010312"/>
  </w:style>
  <w:style w:type="character" w:customStyle="1" w:styleId="sb8d990e2">
    <w:name w:val="sb8d990e2"/>
    <w:basedOn w:val="a0"/>
    <w:rsid w:val="008579ED"/>
  </w:style>
  <w:style w:type="paragraph" w:styleId="a7">
    <w:name w:val="endnote text"/>
    <w:basedOn w:val="a"/>
    <w:link w:val="a8"/>
    <w:uiPriority w:val="99"/>
    <w:unhideWhenUsed/>
    <w:rsid w:val="00C60781"/>
    <w:pPr>
      <w:spacing w:after="200" w:line="276" w:lineRule="auto"/>
    </w:pPr>
    <w:rPr>
      <w:rFonts w:ascii="Calibri" w:eastAsia="MS Mincho" w:hAnsi="Calibri"/>
      <w:sz w:val="20"/>
      <w:szCs w:val="20"/>
    </w:rPr>
  </w:style>
  <w:style w:type="character" w:customStyle="1" w:styleId="a8">
    <w:name w:val="Текст кінцевої виноски Знак"/>
    <w:basedOn w:val="a0"/>
    <w:link w:val="a7"/>
    <w:uiPriority w:val="99"/>
    <w:rsid w:val="00C60781"/>
    <w:rPr>
      <w:rFonts w:ascii="Calibri" w:eastAsia="MS Mincho" w:hAnsi="Calibri" w:cs="Times New Roman"/>
      <w:sz w:val="20"/>
      <w:szCs w:val="20"/>
      <w:lang w:eastAsia="ru-RU"/>
    </w:rPr>
  </w:style>
  <w:style w:type="paragraph" w:styleId="a9">
    <w:name w:val="footnote text"/>
    <w:aliases w:val="footnote text Знак,single space,footnote text Знак1 Знак,footnote text Знак1 Знак Знак Знак Знак Знак,footnote text Знак1 Знак Знак Знак Знак Знак Знак З,footnote text Знак1 Знак  Знак Знак,Текст сноски Знак Знак Знак Знак,footnote text"/>
    <w:basedOn w:val="a"/>
    <w:link w:val="aa"/>
    <w:unhideWhenUsed/>
    <w:rsid w:val="00727F43"/>
    <w:rPr>
      <w:rFonts w:eastAsia="Calibri"/>
      <w:lang w:val="en-US"/>
    </w:rPr>
  </w:style>
  <w:style w:type="character" w:customStyle="1" w:styleId="aa">
    <w:name w:val="Текст виноски Знак"/>
    <w:aliases w:val="footnote text Знак Знак,single space Знак,footnote text Знак1 Знак Знак,footnote text Знак1 Знак Знак Знак Знак Знак Знак,footnote text Знак1 Знак Знак Знак Знак Знак Знак З Знак,footnote text Знак1 Знак  Знак Знак Знак"/>
    <w:basedOn w:val="a0"/>
    <w:link w:val="a9"/>
    <w:rsid w:val="00727F43"/>
    <w:rPr>
      <w:rFonts w:ascii="Times New Roman" w:eastAsia="Calibri" w:hAnsi="Times New Roman" w:cs="Times New Roman"/>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7B2"/>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073"/>
    <w:pPr>
      <w:spacing w:after="200" w:line="276" w:lineRule="auto"/>
      <w:ind w:left="720"/>
      <w:contextualSpacing/>
    </w:pPr>
    <w:rPr>
      <w:rFonts w:ascii="Calibri" w:eastAsia="Calibri" w:hAnsi="Calibri" w:cs="Calibri"/>
      <w:color w:val="000000"/>
      <w:sz w:val="22"/>
      <w:szCs w:val="22"/>
      <w:lang w:val="tr-TR" w:eastAsia="en-US"/>
    </w:rPr>
  </w:style>
  <w:style w:type="character" w:styleId="a4">
    <w:name w:val="Hyperlink"/>
    <w:basedOn w:val="a0"/>
    <w:uiPriority w:val="99"/>
    <w:unhideWhenUsed/>
    <w:rsid w:val="006579B3"/>
    <w:rPr>
      <w:color w:val="0563C1" w:themeColor="hyperlink"/>
      <w:u w:val="single"/>
    </w:rPr>
  </w:style>
  <w:style w:type="paragraph" w:customStyle="1" w:styleId="1">
    <w:name w:val="Абзац списка1"/>
    <w:autoRedefine/>
    <w:rsid w:val="008F0115"/>
    <w:pPr>
      <w:numPr>
        <w:numId w:val="2"/>
      </w:numPr>
      <w:spacing w:after="200"/>
      <w:jc w:val="both"/>
    </w:pPr>
    <w:rPr>
      <w:rFonts w:ascii="Times New Roman" w:eastAsia="Calibri" w:hAnsi="Times New Roman" w:cs="Times New Roman"/>
      <w:color w:val="000000" w:themeColor="text1"/>
      <w:sz w:val="20"/>
      <w:szCs w:val="20"/>
      <w:u w:color="000000"/>
      <w:lang w:val="uk-UA" w:eastAsia="uk-UA"/>
    </w:rPr>
  </w:style>
  <w:style w:type="character" w:customStyle="1" w:styleId="Hyperlink0">
    <w:name w:val="Hyperlink.0"/>
    <w:basedOn w:val="a4"/>
    <w:rsid w:val="0071752C"/>
    <w:rPr>
      <w:color w:val="0563C1" w:themeColor="hyperlink"/>
      <w:u w:val="single"/>
    </w:rPr>
  </w:style>
  <w:style w:type="character" w:customStyle="1" w:styleId="a5">
    <w:name w:val="Немає"/>
    <w:autoRedefine/>
    <w:rsid w:val="0071752C"/>
    <w:rPr>
      <w:lang w:val="ru-RU"/>
    </w:rPr>
  </w:style>
  <w:style w:type="character" w:styleId="a6">
    <w:name w:val="FollowedHyperlink"/>
    <w:basedOn w:val="a0"/>
    <w:uiPriority w:val="99"/>
    <w:semiHidden/>
    <w:unhideWhenUsed/>
    <w:rsid w:val="00D02E2B"/>
    <w:rPr>
      <w:color w:val="954F72" w:themeColor="followedHyperlink"/>
      <w:u w:val="single"/>
    </w:rPr>
  </w:style>
  <w:style w:type="paragraph" w:customStyle="1" w:styleId="p1">
    <w:name w:val="p1"/>
    <w:basedOn w:val="a"/>
    <w:rsid w:val="00EC56D6"/>
    <w:rPr>
      <w:rFonts w:ascii="Helvetica" w:hAnsi="Helvetica"/>
      <w:color w:val="0072BD"/>
      <w:sz w:val="21"/>
      <w:szCs w:val="21"/>
    </w:rPr>
  </w:style>
  <w:style w:type="character" w:customStyle="1" w:styleId="s6b621b36">
    <w:name w:val="s6b621b36"/>
    <w:basedOn w:val="a0"/>
    <w:rsid w:val="00010312"/>
  </w:style>
  <w:style w:type="character" w:customStyle="1" w:styleId="sb8d990e2">
    <w:name w:val="sb8d990e2"/>
    <w:basedOn w:val="a0"/>
    <w:rsid w:val="008579ED"/>
  </w:style>
  <w:style w:type="paragraph" w:styleId="a7">
    <w:name w:val="endnote text"/>
    <w:basedOn w:val="a"/>
    <w:link w:val="a8"/>
    <w:uiPriority w:val="99"/>
    <w:unhideWhenUsed/>
    <w:rsid w:val="00C60781"/>
    <w:pPr>
      <w:spacing w:after="200" w:line="276" w:lineRule="auto"/>
    </w:pPr>
    <w:rPr>
      <w:rFonts w:ascii="Calibri" w:eastAsia="MS Mincho" w:hAnsi="Calibri"/>
      <w:sz w:val="20"/>
      <w:szCs w:val="20"/>
    </w:rPr>
  </w:style>
  <w:style w:type="character" w:customStyle="1" w:styleId="a8">
    <w:name w:val="Текст кінцевої виноски Знак"/>
    <w:basedOn w:val="a0"/>
    <w:link w:val="a7"/>
    <w:uiPriority w:val="99"/>
    <w:rsid w:val="00C60781"/>
    <w:rPr>
      <w:rFonts w:ascii="Calibri" w:eastAsia="MS Mincho" w:hAnsi="Calibri" w:cs="Times New Roman"/>
      <w:sz w:val="20"/>
      <w:szCs w:val="20"/>
      <w:lang w:eastAsia="ru-RU"/>
    </w:rPr>
  </w:style>
  <w:style w:type="paragraph" w:styleId="a9">
    <w:name w:val="footnote text"/>
    <w:aliases w:val="footnote text Знак,single space,footnote text Знак1 Знак,footnote text Знак1 Знак Знак Знак Знак Знак,footnote text Знак1 Знак Знак Знак Знак Знак Знак З,footnote text Знак1 Знак  Знак Знак,Текст сноски Знак Знак Знак Знак,footnote text"/>
    <w:basedOn w:val="a"/>
    <w:link w:val="aa"/>
    <w:unhideWhenUsed/>
    <w:rsid w:val="00727F43"/>
    <w:rPr>
      <w:rFonts w:eastAsia="Calibri"/>
      <w:lang w:val="en-US"/>
    </w:rPr>
  </w:style>
  <w:style w:type="character" w:customStyle="1" w:styleId="aa">
    <w:name w:val="Текст виноски Знак"/>
    <w:aliases w:val="footnote text Знак Знак,single space Знак,footnote text Знак1 Знак Знак,footnote text Знак1 Знак Знак Знак Знак Знак Знак,footnote text Знак1 Знак Знак Знак Знак Знак Знак З Знак,footnote text Знак1 Знак  Знак Знак Знак"/>
    <w:basedOn w:val="a0"/>
    <w:link w:val="a9"/>
    <w:rsid w:val="00727F43"/>
    <w:rPr>
      <w:rFonts w:ascii="Times New Roman" w:eastAsia="Calibri" w:hAnsi="Times New Roman" w:cs="Times New Roman"/>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4085">
      <w:bodyDiv w:val="1"/>
      <w:marLeft w:val="0"/>
      <w:marRight w:val="0"/>
      <w:marTop w:val="0"/>
      <w:marBottom w:val="0"/>
      <w:divBdr>
        <w:top w:val="none" w:sz="0" w:space="0" w:color="auto"/>
        <w:left w:val="none" w:sz="0" w:space="0" w:color="auto"/>
        <w:bottom w:val="none" w:sz="0" w:space="0" w:color="auto"/>
        <w:right w:val="none" w:sz="0" w:space="0" w:color="auto"/>
      </w:divBdr>
    </w:div>
    <w:div w:id="179049402">
      <w:bodyDiv w:val="1"/>
      <w:marLeft w:val="0"/>
      <w:marRight w:val="0"/>
      <w:marTop w:val="0"/>
      <w:marBottom w:val="0"/>
      <w:divBdr>
        <w:top w:val="none" w:sz="0" w:space="0" w:color="auto"/>
        <w:left w:val="none" w:sz="0" w:space="0" w:color="auto"/>
        <w:bottom w:val="none" w:sz="0" w:space="0" w:color="auto"/>
        <w:right w:val="none" w:sz="0" w:space="0" w:color="auto"/>
      </w:divBdr>
    </w:div>
    <w:div w:id="235407557">
      <w:bodyDiv w:val="1"/>
      <w:marLeft w:val="0"/>
      <w:marRight w:val="0"/>
      <w:marTop w:val="0"/>
      <w:marBottom w:val="0"/>
      <w:divBdr>
        <w:top w:val="none" w:sz="0" w:space="0" w:color="auto"/>
        <w:left w:val="none" w:sz="0" w:space="0" w:color="auto"/>
        <w:bottom w:val="none" w:sz="0" w:space="0" w:color="auto"/>
        <w:right w:val="none" w:sz="0" w:space="0" w:color="auto"/>
      </w:divBdr>
    </w:div>
    <w:div w:id="269317567">
      <w:bodyDiv w:val="1"/>
      <w:marLeft w:val="0"/>
      <w:marRight w:val="0"/>
      <w:marTop w:val="0"/>
      <w:marBottom w:val="0"/>
      <w:divBdr>
        <w:top w:val="none" w:sz="0" w:space="0" w:color="auto"/>
        <w:left w:val="none" w:sz="0" w:space="0" w:color="auto"/>
        <w:bottom w:val="none" w:sz="0" w:space="0" w:color="auto"/>
        <w:right w:val="none" w:sz="0" w:space="0" w:color="auto"/>
      </w:divBdr>
    </w:div>
    <w:div w:id="332490318">
      <w:bodyDiv w:val="1"/>
      <w:marLeft w:val="0"/>
      <w:marRight w:val="0"/>
      <w:marTop w:val="0"/>
      <w:marBottom w:val="0"/>
      <w:divBdr>
        <w:top w:val="none" w:sz="0" w:space="0" w:color="auto"/>
        <w:left w:val="none" w:sz="0" w:space="0" w:color="auto"/>
        <w:bottom w:val="none" w:sz="0" w:space="0" w:color="auto"/>
        <w:right w:val="none" w:sz="0" w:space="0" w:color="auto"/>
      </w:divBdr>
    </w:div>
    <w:div w:id="580457295">
      <w:bodyDiv w:val="1"/>
      <w:marLeft w:val="0"/>
      <w:marRight w:val="0"/>
      <w:marTop w:val="0"/>
      <w:marBottom w:val="0"/>
      <w:divBdr>
        <w:top w:val="none" w:sz="0" w:space="0" w:color="auto"/>
        <w:left w:val="none" w:sz="0" w:space="0" w:color="auto"/>
        <w:bottom w:val="none" w:sz="0" w:space="0" w:color="auto"/>
        <w:right w:val="none" w:sz="0" w:space="0" w:color="auto"/>
      </w:divBdr>
    </w:div>
    <w:div w:id="639043596">
      <w:bodyDiv w:val="1"/>
      <w:marLeft w:val="0"/>
      <w:marRight w:val="0"/>
      <w:marTop w:val="0"/>
      <w:marBottom w:val="0"/>
      <w:divBdr>
        <w:top w:val="none" w:sz="0" w:space="0" w:color="auto"/>
        <w:left w:val="none" w:sz="0" w:space="0" w:color="auto"/>
        <w:bottom w:val="none" w:sz="0" w:space="0" w:color="auto"/>
        <w:right w:val="none" w:sz="0" w:space="0" w:color="auto"/>
      </w:divBdr>
    </w:div>
    <w:div w:id="680358686">
      <w:bodyDiv w:val="1"/>
      <w:marLeft w:val="0"/>
      <w:marRight w:val="0"/>
      <w:marTop w:val="0"/>
      <w:marBottom w:val="0"/>
      <w:divBdr>
        <w:top w:val="none" w:sz="0" w:space="0" w:color="auto"/>
        <w:left w:val="none" w:sz="0" w:space="0" w:color="auto"/>
        <w:bottom w:val="none" w:sz="0" w:space="0" w:color="auto"/>
        <w:right w:val="none" w:sz="0" w:space="0" w:color="auto"/>
      </w:divBdr>
    </w:div>
    <w:div w:id="803738760">
      <w:bodyDiv w:val="1"/>
      <w:marLeft w:val="0"/>
      <w:marRight w:val="0"/>
      <w:marTop w:val="0"/>
      <w:marBottom w:val="0"/>
      <w:divBdr>
        <w:top w:val="none" w:sz="0" w:space="0" w:color="auto"/>
        <w:left w:val="none" w:sz="0" w:space="0" w:color="auto"/>
        <w:bottom w:val="none" w:sz="0" w:space="0" w:color="auto"/>
        <w:right w:val="none" w:sz="0" w:space="0" w:color="auto"/>
      </w:divBdr>
    </w:div>
    <w:div w:id="837696653">
      <w:bodyDiv w:val="1"/>
      <w:marLeft w:val="0"/>
      <w:marRight w:val="0"/>
      <w:marTop w:val="0"/>
      <w:marBottom w:val="0"/>
      <w:divBdr>
        <w:top w:val="none" w:sz="0" w:space="0" w:color="auto"/>
        <w:left w:val="none" w:sz="0" w:space="0" w:color="auto"/>
        <w:bottom w:val="none" w:sz="0" w:space="0" w:color="auto"/>
        <w:right w:val="none" w:sz="0" w:space="0" w:color="auto"/>
      </w:divBdr>
    </w:div>
    <w:div w:id="843323196">
      <w:bodyDiv w:val="1"/>
      <w:marLeft w:val="0"/>
      <w:marRight w:val="0"/>
      <w:marTop w:val="0"/>
      <w:marBottom w:val="0"/>
      <w:divBdr>
        <w:top w:val="none" w:sz="0" w:space="0" w:color="auto"/>
        <w:left w:val="none" w:sz="0" w:space="0" w:color="auto"/>
        <w:bottom w:val="none" w:sz="0" w:space="0" w:color="auto"/>
        <w:right w:val="none" w:sz="0" w:space="0" w:color="auto"/>
      </w:divBdr>
    </w:div>
    <w:div w:id="1323855321">
      <w:bodyDiv w:val="1"/>
      <w:marLeft w:val="0"/>
      <w:marRight w:val="0"/>
      <w:marTop w:val="0"/>
      <w:marBottom w:val="0"/>
      <w:divBdr>
        <w:top w:val="none" w:sz="0" w:space="0" w:color="auto"/>
        <w:left w:val="none" w:sz="0" w:space="0" w:color="auto"/>
        <w:bottom w:val="none" w:sz="0" w:space="0" w:color="auto"/>
        <w:right w:val="none" w:sz="0" w:space="0" w:color="auto"/>
      </w:divBdr>
    </w:div>
    <w:div w:id="1485391785">
      <w:bodyDiv w:val="1"/>
      <w:marLeft w:val="0"/>
      <w:marRight w:val="0"/>
      <w:marTop w:val="0"/>
      <w:marBottom w:val="0"/>
      <w:divBdr>
        <w:top w:val="none" w:sz="0" w:space="0" w:color="auto"/>
        <w:left w:val="none" w:sz="0" w:space="0" w:color="auto"/>
        <w:bottom w:val="none" w:sz="0" w:space="0" w:color="auto"/>
        <w:right w:val="none" w:sz="0" w:space="0" w:color="auto"/>
      </w:divBdr>
    </w:div>
    <w:div w:id="1849825220">
      <w:bodyDiv w:val="1"/>
      <w:marLeft w:val="0"/>
      <w:marRight w:val="0"/>
      <w:marTop w:val="0"/>
      <w:marBottom w:val="0"/>
      <w:divBdr>
        <w:top w:val="none" w:sz="0" w:space="0" w:color="auto"/>
        <w:left w:val="none" w:sz="0" w:space="0" w:color="auto"/>
        <w:bottom w:val="none" w:sz="0" w:space="0" w:color="auto"/>
        <w:right w:val="none" w:sz="0" w:space="0" w:color="auto"/>
      </w:divBdr>
    </w:div>
    <w:div w:id="1990017241">
      <w:bodyDiv w:val="1"/>
      <w:marLeft w:val="0"/>
      <w:marRight w:val="0"/>
      <w:marTop w:val="0"/>
      <w:marBottom w:val="0"/>
      <w:divBdr>
        <w:top w:val="none" w:sz="0" w:space="0" w:color="auto"/>
        <w:left w:val="none" w:sz="0" w:space="0" w:color="auto"/>
        <w:bottom w:val="none" w:sz="0" w:space="0" w:color="auto"/>
        <w:right w:val="none" w:sz="0" w:space="0" w:color="auto"/>
      </w:divBdr>
    </w:div>
    <w:div w:id="1998537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lnu.edu.ua/course/sudova-praktyka-ukrajiny-schodo-zahystu-pensijnyh-prav-hromadyan" TargetMode="External"/><Relationship Id="rId13" Type="http://schemas.openxmlformats.org/officeDocument/2006/relationships/hyperlink" Target="https://bit.ly/2OTnYRe" TargetMode="External"/><Relationship Id="rId18" Type="http://schemas.openxmlformats.org/officeDocument/2006/relationships/hyperlink" Target="https://bit.ly/399xmHj" TargetMode="External"/><Relationship Id="rId3" Type="http://schemas.microsoft.com/office/2007/relationships/stylesWithEffects" Target="stylesWithEffects.xml"/><Relationship Id="rId7" Type="http://schemas.openxmlformats.org/officeDocument/2006/relationships/hyperlink" Target="https://law.lnu.edu.ua/employee/synchuk-svitlana-mykolajivna" TargetMode="External"/><Relationship Id="rId12" Type="http://schemas.openxmlformats.org/officeDocument/2006/relationships/hyperlink" Target="https://hudoc.echr.coe.int/eng" TargetMode="External"/><Relationship Id="rId17" Type="http://schemas.openxmlformats.org/officeDocument/2006/relationships/hyperlink" Target="https://bit.ly/396CRqc" TargetMode="External"/><Relationship Id="rId2" Type="http://schemas.openxmlformats.org/officeDocument/2006/relationships/styles" Target="styles.xml"/><Relationship Id="rId16" Type="http://schemas.openxmlformats.org/officeDocument/2006/relationships/hyperlink" Target="https://hudoc.echr.coe.int/e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vitlana.synchuk@lnu.edu.ua" TargetMode="External"/><Relationship Id="rId11" Type="http://schemas.openxmlformats.org/officeDocument/2006/relationships/hyperlink" Target="https://doi.org/10.1177%2F1388262720947726" TargetMode="External"/><Relationship Id="rId5" Type="http://schemas.openxmlformats.org/officeDocument/2006/relationships/webSettings" Target="webSettings.xml"/><Relationship Id="rId15" Type="http://schemas.openxmlformats.org/officeDocument/2006/relationships/hyperlink" Target="https://bit.ly/3lLwais" TargetMode="External"/><Relationship Id="rId10" Type="http://schemas.openxmlformats.org/officeDocument/2006/relationships/hyperlink" Target="https://doi.org/10.1177%2F138826271983894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177%2F1388262720911530" TargetMode="External"/><Relationship Id="rId14" Type="http://schemas.openxmlformats.org/officeDocument/2006/relationships/hyperlink" Target="https://hudoc.echr.coe.int/eng"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9732</Words>
  <Characters>5548</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LNU</cp:lastModifiedBy>
  <cp:revision>3</cp:revision>
  <dcterms:created xsi:type="dcterms:W3CDTF">2021-04-05T00:16:00Z</dcterms:created>
  <dcterms:modified xsi:type="dcterms:W3CDTF">2021-04-05T00:34:00Z</dcterms:modified>
</cp:coreProperties>
</file>