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4" w:rsidRPr="004E312E" w:rsidRDefault="00061874" w:rsidP="00061874">
      <w:pPr>
        <w:rPr>
          <w:rFonts w:ascii="Times New Roman" w:hAnsi="Times New Roman" w:cs="Times New Roman"/>
          <w:sz w:val="24"/>
          <w:szCs w:val="24"/>
        </w:rPr>
      </w:pPr>
    </w:p>
    <w:p w:rsidR="008E73AB" w:rsidRDefault="00061874" w:rsidP="00061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12E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4E312E">
        <w:rPr>
          <w:rFonts w:ascii="Times New Roman" w:hAnsi="Times New Roman" w:cs="Times New Roman"/>
          <w:b/>
          <w:sz w:val="24"/>
          <w:szCs w:val="24"/>
        </w:rPr>
        <w:t xml:space="preserve"> курсу</w:t>
      </w:r>
    </w:p>
    <w:p w:rsidR="00070171" w:rsidRDefault="00061874" w:rsidP="00061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71">
        <w:rPr>
          <w:rFonts w:ascii="Times New Roman" w:hAnsi="Times New Roman" w:cs="Times New Roman"/>
          <w:b/>
          <w:sz w:val="24"/>
          <w:szCs w:val="24"/>
        </w:rPr>
        <w:t>«</w:t>
      </w:r>
      <w:r w:rsidR="00070171">
        <w:rPr>
          <w:rFonts w:ascii="Times New Roman" w:hAnsi="Times New Roman" w:cs="Times New Roman"/>
          <w:sz w:val="24"/>
          <w:szCs w:val="24"/>
        </w:rPr>
        <w:t>Правове регулювання трудових відносин державних службовців</w:t>
      </w:r>
      <w:r w:rsidR="007A46FF">
        <w:rPr>
          <w:rFonts w:ascii="Times New Roman" w:hAnsi="Times New Roman" w:cs="Times New Roman"/>
          <w:sz w:val="24"/>
          <w:szCs w:val="24"/>
        </w:rPr>
        <w:t xml:space="preserve"> та їх соціальний захист</w:t>
      </w:r>
      <w:r w:rsidR="00070171">
        <w:rPr>
          <w:rFonts w:ascii="Times New Roman" w:hAnsi="Times New Roman" w:cs="Times New Roman"/>
          <w:b/>
          <w:sz w:val="24"/>
          <w:szCs w:val="24"/>
        </w:rPr>
        <w:t>»</w:t>
      </w:r>
    </w:p>
    <w:p w:rsidR="00061874" w:rsidRPr="004E312E" w:rsidRDefault="00070171" w:rsidP="00061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061874" w:rsidRPr="004E312E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061874" w:rsidRPr="004E312E" w:rsidRDefault="00061874" w:rsidP="000618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235"/>
        <w:gridCol w:w="8646"/>
      </w:tblGrid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трудових відносин державних службовців</w:t>
            </w:r>
            <w:r w:rsidR="008027DC">
              <w:rPr>
                <w:rFonts w:ascii="Times New Roman" w:hAnsi="Times New Roman" w:cs="Times New Roman"/>
                <w:sz w:val="24"/>
                <w:szCs w:val="24"/>
              </w:rPr>
              <w:t xml:space="preserve"> та їх соціальний захист</w:t>
            </w:r>
          </w:p>
          <w:p w:rsidR="0009088D" w:rsidRPr="004E312E" w:rsidRDefault="0009088D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09088D" w:rsidRDefault="0009088D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8D">
              <w:rPr>
                <w:rFonts w:ascii="Times New Roman" w:hAnsi="Times New Roman"/>
                <w:sz w:val="24"/>
                <w:szCs w:val="24"/>
              </w:rPr>
              <w:t>79000, Львів, вул. Січових стрільців,14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D" w:rsidRPr="004D0B95" w:rsidRDefault="0009088D" w:rsidP="0009088D">
            <w:pPr>
              <w:rPr>
                <w:rFonts w:ascii="Times New Roman" w:hAnsi="Times New Roman"/>
                <w:sz w:val="24"/>
                <w:szCs w:val="24"/>
              </w:rPr>
            </w:pPr>
            <w:r w:rsidRPr="004D0B95">
              <w:rPr>
                <w:rFonts w:ascii="Times New Roman" w:hAnsi="Times New Roman"/>
                <w:sz w:val="24"/>
                <w:szCs w:val="24"/>
              </w:rPr>
              <w:t>Юридичний факультет</w:t>
            </w:r>
          </w:p>
          <w:p w:rsidR="0009088D" w:rsidRPr="004D0B95" w:rsidRDefault="0009088D" w:rsidP="0009088D">
            <w:pPr>
              <w:rPr>
                <w:rFonts w:ascii="Times New Roman" w:hAnsi="Times New Roman"/>
                <w:sz w:val="24"/>
                <w:szCs w:val="24"/>
              </w:rPr>
            </w:pPr>
            <w:r w:rsidRPr="004D0B95">
              <w:rPr>
                <w:rFonts w:ascii="Times New Roman" w:hAnsi="Times New Roman"/>
                <w:sz w:val="24"/>
                <w:szCs w:val="24"/>
              </w:rPr>
              <w:t>Кафедра соціального права</w:t>
            </w:r>
          </w:p>
          <w:p w:rsidR="00061874" w:rsidRPr="004E312E" w:rsidRDefault="00061874" w:rsidP="00BC0D4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C50FA9" w:rsidRDefault="00C50FA9" w:rsidP="0087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A9">
              <w:rPr>
                <w:rFonts w:ascii="Times New Roman" w:hAnsi="Times New Roman"/>
                <w:sz w:val="24"/>
                <w:szCs w:val="24"/>
              </w:rPr>
              <w:t xml:space="preserve">081, </w:t>
            </w:r>
            <w:r w:rsidR="00877F25">
              <w:rPr>
                <w:rFonts w:ascii="Times New Roman" w:hAnsi="Times New Roman"/>
                <w:sz w:val="24"/>
                <w:szCs w:val="24"/>
              </w:rPr>
              <w:t>П</w:t>
            </w:r>
            <w:r w:rsidRPr="00C50FA9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B128DB" w:rsidP="00B1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Валеріївна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715092" w:rsidP="008E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tatianaparpan</w:t>
            </w:r>
            <w:r w:rsidRPr="007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8B25A6">
                <w:rPr>
                  <w:rStyle w:val="a3"/>
                  <w:lang w:val="en-US"/>
                </w:rPr>
                <w:t>tetyana</w:t>
              </w:r>
              <w:r w:rsidRPr="00DA5C82">
                <w:rPr>
                  <w:rStyle w:val="a3"/>
                  <w:lang w:val="ru-RU"/>
                </w:rPr>
                <w:t>.</w:t>
              </w:r>
              <w:r w:rsidRPr="008B25A6">
                <w:rPr>
                  <w:rStyle w:val="a3"/>
                  <w:lang w:val="en-US"/>
                </w:rPr>
                <w:t>parpan</w:t>
              </w:r>
              <w:r w:rsidRPr="00DA5C82">
                <w:rPr>
                  <w:rStyle w:val="a3"/>
                  <w:lang w:val="ru-RU"/>
                </w:rPr>
                <w:t>@</w:t>
              </w:r>
              <w:r w:rsidRPr="008B25A6">
                <w:rPr>
                  <w:rStyle w:val="a3"/>
                  <w:lang w:val="en-US"/>
                </w:rPr>
                <w:t>lnu</w:t>
              </w:r>
              <w:r w:rsidRPr="00DA5C82">
                <w:rPr>
                  <w:rStyle w:val="a3"/>
                  <w:lang w:val="ru-RU"/>
                </w:rPr>
                <w:t>.</w:t>
              </w:r>
              <w:r w:rsidRPr="008B25A6">
                <w:rPr>
                  <w:rStyle w:val="a3"/>
                  <w:lang w:val="en-US"/>
                </w:rPr>
                <w:t>edu</w:t>
              </w:r>
              <w:r w:rsidRPr="00DA5C82">
                <w:rPr>
                  <w:rStyle w:val="a3"/>
                  <w:lang w:val="ru-RU"/>
                </w:rPr>
                <w:t>.</w:t>
              </w:r>
              <w:proofErr w:type="spellStart"/>
              <w:r w:rsidRPr="008B25A6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E1446D" w:rsidP="00E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6D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Також, можливі</w:t>
            </w:r>
            <w:r>
              <w:rPr>
                <w:i/>
              </w:rPr>
              <w:t xml:space="preserve"> </w:t>
            </w:r>
            <w:r w:rsidRPr="00E14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AF3" w:rsidRPr="00E1446D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r w:rsidR="004C3AF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 через </w:t>
            </w:r>
            <w:r w:rsidR="004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C3AF3" w:rsidRPr="006A6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C3AF3" w:rsidRPr="006A6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4C3AF3" w:rsidRPr="004E312E">
              <w:rPr>
                <w:rFonts w:ascii="Times New Roman" w:hAnsi="Times New Roman" w:cs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4013E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10CC" w:rsidRPr="004D0B95">
                <w:rPr>
                  <w:rStyle w:val="a3"/>
                  <w:rFonts w:ascii="Times New Roman" w:hAnsi="Times New Roman"/>
                </w:rPr>
                <w:t>http://law.lnu.edu.ua/department/kafedra-soc-prava</w:t>
              </w:r>
            </w:hyperlink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5E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D3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</w:t>
            </w:r>
            <w:r w:rsidR="002A695A" w:rsidRPr="00E670D3">
              <w:rPr>
                <w:rFonts w:ascii="Times New Roman" w:hAnsi="Times New Roman" w:cs="Times New Roman"/>
                <w:sz w:val="24"/>
                <w:szCs w:val="24"/>
              </w:rPr>
              <w:t>теоретичні та прак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 xml:space="preserve">тичні 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r w:rsidR="00E670D3">
              <w:rPr>
                <w:rFonts w:ascii="Times New Roman" w:hAnsi="Times New Roman" w:cs="Times New Roman"/>
                <w:sz w:val="24"/>
                <w:szCs w:val="24"/>
              </w:rPr>
              <w:t xml:space="preserve"> щодо особливостей реалізації громадянами своїх трудових прав на державній службі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, обов’язкові для того, щоб </w:t>
            </w:r>
            <w:r w:rsidR="00E670D3">
              <w:rPr>
                <w:rFonts w:ascii="Times New Roman" w:hAnsi="Times New Roman" w:cs="Times New Roman"/>
                <w:sz w:val="24"/>
                <w:szCs w:val="24"/>
              </w:rPr>
              <w:t>вміти застосовувати трудове законодавство та законодавство про державну службу для захисту трудових прав державних службовців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670D3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трудових прав громадян </w:t>
            </w:r>
            <w:r w:rsidR="005E0399">
              <w:rPr>
                <w:rFonts w:ascii="Times New Roman" w:hAnsi="Times New Roman" w:cs="Times New Roman"/>
                <w:sz w:val="24"/>
                <w:szCs w:val="24"/>
              </w:rPr>
              <w:t>на державній службі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5E0399">
              <w:rPr>
                <w:rFonts w:ascii="Times New Roman" w:hAnsi="Times New Roman" w:cs="Times New Roman"/>
                <w:sz w:val="24"/>
                <w:szCs w:val="24"/>
              </w:rPr>
              <w:t>їх захисту у судовому порядку та на колективно-договірному рівні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40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 xml:space="preserve">Правове регулювання трудових відносин державних службовців та їх соціальний захист» є завершальною 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вибірковою дисципліною з спеціальності 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>081 «Право»</w:t>
            </w:r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для освітньої програми 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>першого (магістерського) року</w:t>
            </w:r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, яка викладається в </w:t>
            </w:r>
            <w:r w:rsidR="008E73A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семестрі в обсязі </w:t>
            </w:r>
            <w:r w:rsidR="004013E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(за Європейською Кредитно-Трансферною Системою ECTS).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CD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Метою вивчення вибіркової дисципліни «</w:t>
            </w:r>
            <w:r w:rsidR="00E1446D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трудових відносин державних службовців та їх соціальний захист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» є ознай</w:t>
            </w:r>
            <w:r w:rsidR="00E1446D">
              <w:rPr>
                <w:rFonts w:ascii="Times New Roman" w:hAnsi="Times New Roman" w:cs="Times New Roman"/>
                <w:sz w:val="24"/>
                <w:szCs w:val="24"/>
              </w:rPr>
              <w:t>омлення студентів із</w:t>
            </w:r>
            <w:r w:rsidR="00E1446D" w:rsidRPr="00C26558">
              <w:rPr>
                <w:sz w:val="28"/>
                <w:szCs w:val="28"/>
              </w:rPr>
              <w:t xml:space="preserve"> </w:t>
            </w:r>
            <w:r w:rsidR="00E1446D" w:rsidRPr="00E1446D">
              <w:rPr>
                <w:rFonts w:ascii="Times New Roman" w:hAnsi="Times New Roman" w:cs="Times New Roman"/>
                <w:sz w:val="24"/>
                <w:szCs w:val="24"/>
              </w:rPr>
              <w:t xml:space="preserve">основними засадами правового регулюванням трудових відносин державних службовців та забезпечення засвоєння студентами основних теоретичних положень щодо реалізації </w:t>
            </w:r>
            <w:r w:rsidR="00E1446D" w:rsidRPr="00E1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громадянами права на працю на державній службі</w:t>
            </w:r>
            <w:r w:rsidR="00E1446D" w:rsidRPr="00E1446D">
              <w:rPr>
                <w:rFonts w:ascii="Times New Roman" w:hAnsi="Times New Roman" w:cs="Times New Roman"/>
                <w:sz w:val="24"/>
                <w:szCs w:val="24"/>
              </w:rPr>
              <w:t xml:space="preserve">, усвідомлення змісту цих правових явищ, а також визначення гарантій та можливостей реалізації </w:t>
            </w:r>
            <w:r w:rsidR="00E1446D" w:rsidRPr="00E1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на працю на </w:t>
            </w:r>
            <w:r w:rsidR="00E1446D" w:rsidRPr="0017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державній службі</w:t>
            </w:r>
            <w:r w:rsidR="00E1446D"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 в сучасних умовах. </w:t>
            </w:r>
          </w:p>
          <w:p w:rsidR="001815AF" w:rsidRPr="008E73AB" w:rsidRDefault="00E1446D" w:rsidP="004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Ціль вивчення дисципліни полягає у </w:t>
            </w:r>
            <w:r w:rsidRPr="008E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формуванні знань та умінь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обґрунтовувати та мотивувати правові рішення, давати розгорнуту юридичну аргументацію щодо 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вступу на державну службу, укладення контракту на державній службі, реалізації права на працю та на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відпочинок на державній службі;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медіацію та інші правові інструменти альтернативного позасудового розгляду та вирішення правових спорів щодо захисту тру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дових прав державних службовців;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міждисциплінарний підхід в реалізації державними службовцями своїх трудових прав та у питаннях їх дотримання у правозастосовній діяльності, у тому числі при вирі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шенні трудових спорів;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оцінювати ефективність представництва і захисту прав, свобод та інтересів державних службовців як осіб, які реалізували своє право на працю ш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ляхом вступу на державну службу;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 готувати проекти ділової документації: наказів про прийом на державну службу, про переведення на іншу посаду та звільнення з посад державної служби, а також проекти контрактів на державній службі, враховуючи вимоги щодо їх законності, обґрунтованості та вмотивов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аності; о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>бґрунтовано формулювати свою правову позицію щодо реалізації трудових прав державними службовцями, вміти опонувати, оцінювати докази та наводити переконливі аргументи на захист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їх трудових прав та інтересів; п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роводити порівняльно-правовий аналіз інститутів робочого часу, </w:t>
            </w:r>
            <w:proofErr w:type="spellStart"/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відпочинку, юридичної відповідальності, охорони праці державних службовців у різних правових системах, враховуючи взаємозв’язок правової системи України з правовими системами Рад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и Європи та Європейського Союзу; а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>налізувати та оцінювати практику застосування норм щодо вступу на державну службу, переведення державних службовців, звільнення з посад державної служби, оплати праці державних службовців, забезпечення належних, безпечних умов проходження державної служби та їх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захисту; 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>розв’яз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>, пов’язан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з захистом трудових прав державних служ</w:t>
            </w:r>
            <w:r w:rsidR="004E33CD" w:rsidRPr="008E73AB">
              <w:rPr>
                <w:rFonts w:ascii="Times New Roman" w:hAnsi="Times New Roman" w:cs="Times New Roman"/>
                <w:sz w:val="24"/>
                <w:szCs w:val="24"/>
              </w:rPr>
              <w:t>бовців, у випадках їх порушення; і</w:t>
            </w:r>
            <w:r w:rsidR="001815AF" w:rsidRPr="008E73AB">
              <w:rPr>
                <w:rFonts w:ascii="Times New Roman" w:hAnsi="Times New Roman" w:cs="Times New Roman"/>
                <w:sz w:val="24"/>
                <w:szCs w:val="24"/>
              </w:rPr>
              <w:t>нтегрувати необхідні знання та розв’язувати складні задачі щодо дотримання та захисту трудових прав державних службовців у різних державних органах та на різних посадах державної служби.</w:t>
            </w:r>
          </w:p>
          <w:p w:rsidR="001815AF" w:rsidRPr="008E73AB" w:rsidRDefault="001815AF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AF" w:rsidRPr="004E312E" w:rsidRDefault="001815AF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A" w:rsidRPr="001712C1" w:rsidRDefault="00061874" w:rsidP="001712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712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Основна література: </w:t>
            </w:r>
          </w:p>
          <w:p w:rsidR="001712C1" w:rsidRPr="001712C1" w:rsidRDefault="001712C1" w:rsidP="008E73AB">
            <w:pPr>
              <w:shd w:val="clear" w:color="auto" w:fill="FFFFFF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1. Малиновський В.Я. Публічна служба в Україні. Підручник, К.: Видавничий дім «Кондор», 2018. 312 с. //  </w:t>
            </w:r>
            <w:hyperlink r:id="rId8" w:history="1"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https://core.ac.uk/download/pdf/199400191.pdf</w:t>
              </w:r>
            </w:hyperlink>
          </w:p>
          <w:p w:rsidR="001712C1" w:rsidRPr="001712C1" w:rsidRDefault="001712C1" w:rsidP="008E73AB">
            <w:pPr>
              <w:shd w:val="clear" w:color="auto" w:fill="FFFFFF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Гетьманцева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Вакарюк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 Л.В., Козуб І.Г., Орловський  О.Я. Трудове право</w:t>
            </w:r>
            <w:r w:rsidRPr="001712C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 Навчальний посібник по вивченню навчальної дисципліни для студентів ОР «Бакалавр» за спеціальністю 081 «Право». Чернівці: Чернівецький нац. ун-т, 2020. – 272 с. //</w:t>
            </w:r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https://drive.google.com/file/d/1ArutrKm27G5KpoW8Pkr0d1yNtwI1Xbwg/view</w:t>
              </w:r>
            </w:hyperlink>
          </w:p>
          <w:p w:rsidR="001712C1" w:rsidRPr="001712C1" w:rsidRDefault="001712C1" w:rsidP="008E73AB">
            <w:pPr>
              <w:shd w:val="clear" w:color="auto" w:fill="FFFFFF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3. Малиновський В.Я. Державне управління: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посібник. 3-є вид.,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переробл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1712C1" w:rsidRPr="001712C1" w:rsidRDefault="001712C1" w:rsidP="008E73AB">
            <w:pPr>
              <w:shd w:val="clear" w:color="auto" w:fill="FFFFFF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1">
              <w:rPr>
                <w:rFonts w:ascii="Times New Roman" w:hAnsi="Times New Roman" w:cs="Times New Roman"/>
                <w:sz w:val="24"/>
                <w:szCs w:val="24"/>
              </w:rPr>
              <w:t xml:space="preserve">4. Євтушенко О.Н. Державне управління (Основи теорії державного управління) : 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. Посібник у трьох частинах / О.Н.Євтушенко, В.І.</w:t>
            </w:r>
            <w:proofErr w:type="spellStart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Андріяш</w:t>
            </w:r>
            <w:proofErr w:type="spellEnd"/>
            <w:r w:rsidRPr="001712C1">
              <w:rPr>
                <w:rFonts w:ascii="Times New Roman" w:hAnsi="Times New Roman" w:cs="Times New Roman"/>
                <w:sz w:val="24"/>
                <w:szCs w:val="24"/>
              </w:rPr>
              <w:t>. – Миколаїв: Вид-во ЧДУ ім. Петра Могили, 2013.</w:t>
            </w:r>
          </w:p>
          <w:p w:rsidR="001712C1" w:rsidRPr="001712C1" w:rsidRDefault="001712C1" w:rsidP="008E73AB">
            <w:pPr>
              <w:shd w:val="clear" w:color="auto" w:fill="FFFFFF"/>
              <w:ind w:firstLine="31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Трудове право України: академічний курс: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підруч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[для.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вищ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закл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П.Д. Пилипенко, В.Я. Бурак, З.Я. Козак та ін.]; за ред..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П.Д. Пили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пенка. – 5-те вид., перероб. і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допов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. – К.: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>Ін</w:t>
            </w:r>
            <w:proofErr w:type="spellEnd"/>
            <w:r w:rsidRPr="001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Юре, 2014.</w:t>
            </w:r>
          </w:p>
          <w:p w:rsidR="00061874" w:rsidRPr="004E312E" w:rsidRDefault="001712C1" w:rsidP="008E73AB">
            <w:pPr>
              <w:shd w:val="clear" w:color="auto" w:fill="FFFFFF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>Christoph</w:t>
            </w:r>
            <w:proofErr w:type="spellEnd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>Demmke</w:t>
            </w:r>
            <w:proofErr w:type="spellEnd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,</w:t>
            </w:r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>Timo</w:t>
            </w:r>
            <w:proofErr w:type="spellEnd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>Moilanen</w:t>
            </w:r>
            <w:proofErr w:type="spellEnd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.</w:t>
            </w:r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Civil Services in the EU of 27: Reform Outcomes and the Future of the Civil Service // Frankfurt am Main Berlin Bern </w:t>
            </w:r>
            <w:proofErr w:type="spellStart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lastRenderedPageBreak/>
              <w:t>Bruxelles</w:t>
            </w:r>
            <w:proofErr w:type="spellEnd"/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New York Oxford Wien. Peter Lang. 2010 //</w:t>
            </w:r>
            <w:r w:rsidRPr="001712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 </w:t>
            </w:r>
            <w:hyperlink r:id="rId10" w:history="1"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books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google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books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hl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lr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=&amp;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=63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fSrcpvYC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oi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fnd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pg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1&amp;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dq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civil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service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scientific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article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ots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pF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9&amp;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sig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XEhYbNU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2_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KYx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928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Ofu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jrmQtE</w:t>
              </w:r>
              <w:proofErr w:type="spellEnd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proofErr w:type="spellStart"/>
              <w:r w:rsidRPr="00171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redir</w:t>
              </w:r>
              <w:proofErr w:type="spellEnd"/>
            </w:hyperlink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8E73AB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2A695A" w:rsidP="0040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061874"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годин лабораторних робіт/практичних занять та </w:t>
            </w:r>
            <w:r w:rsidR="004013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Start w:id="0" w:name="_GoBack"/>
            <w:bookmarkEnd w:id="0"/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8E73AB" w:rsidRDefault="00061874" w:rsidP="008E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8E73AB" w:rsidRPr="008E73AB" w:rsidRDefault="008E73AB" w:rsidP="008E73AB">
            <w:pPr>
              <w:pStyle w:val="Bullets1"/>
              <w:ind w:left="0" w:firstLine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73AB">
              <w:rPr>
                <w:rFonts w:ascii="Times New Roman" w:hAnsi="Times New Roman"/>
                <w:b/>
                <w:szCs w:val="24"/>
                <w:lang w:val="uk-UA"/>
              </w:rPr>
              <w:t>знати:</w:t>
            </w:r>
          </w:p>
          <w:p w:rsidR="008E73AB" w:rsidRPr="008E73AB" w:rsidRDefault="008E73AB" w:rsidP="008E73AB">
            <w:pPr>
              <w:pStyle w:val="Bullets1"/>
              <w:numPr>
                <w:ilvl w:val="0"/>
                <w:numId w:val="13"/>
              </w:numPr>
              <w:ind w:left="0" w:firstLine="709"/>
              <w:rPr>
                <w:rFonts w:ascii="Times New Roman" w:hAnsi="Times New Roman"/>
                <w:szCs w:val="24"/>
                <w:lang w:val="uk-UA"/>
              </w:rPr>
            </w:pPr>
            <w:r w:rsidRPr="008E73AB">
              <w:rPr>
                <w:rFonts w:ascii="Times New Roman" w:hAnsi="Times New Roman"/>
                <w:szCs w:val="24"/>
                <w:lang w:val="uk-UA"/>
              </w:rPr>
              <w:t>зміст права на працю та права на державну службу; особливості правового статусу державних службовців; джерела правового регулювання трудових відносин державних службовців; правові підстави, порядок вступу на державну службу, особливості її проходження та припинення; міжнародні документи у сфері реалізації права на працю на державній службі.</w:t>
            </w:r>
          </w:p>
          <w:p w:rsidR="008E73AB" w:rsidRPr="008E73AB" w:rsidRDefault="008E73AB" w:rsidP="008E73AB">
            <w:pPr>
              <w:pStyle w:val="Bullets1"/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73AB">
              <w:rPr>
                <w:rFonts w:ascii="Times New Roman" w:hAnsi="Times New Roman"/>
                <w:b/>
                <w:szCs w:val="24"/>
                <w:lang w:val="uk-UA"/>
              </w:rPr>
              <w:t>уміти:</w:t>
            </w:r>
          </w:p>
          <w:p w:rsidR="008E73AB" w:rsidRPr="008E73AB" w:rsidRDefault="008E73AB" w:rsidP="008E73AB">
            <w:pPr>
              <w:pStyle w:val="Bullets1"/>
              <w:numPr>
                <w:ilvl w:val="0"/>
                <w:numId w:val="14"/>
              </w:numPr>
              <w:tabs>
                <w:tab w:val="left" w:pos="0"/>
              </w:tabs>
              <w:ind w:left="0" w:firstLine="851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обґрунтовувати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мотивувати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правові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73AB"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 w:rsidRPr="008E73AB">
              <w:rPr>
                <w:rFonts w:ascii="Times New Roman" w:hAnsi="Times New Roman"/>
                <w:szCs w:val="24"/>
                <w:lang w:val="ru-RU"/>
              </w:rPr>
              <w:t>ішення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давати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розгорнуту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юридичну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аргументацію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щодо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вступу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державну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службу,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укладення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контракту на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державній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службі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реалізації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права на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працю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та на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відпочинок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державній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службі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8E73AB" w:rsidRPr="008E73AB" w:rsidRDefault="008E73AB" w:rsidP="008E73AB">
            <w:pPr>
              <w:pStyle w:val="Bullets1"/>
              <w:numPr>
                <w:ilvl w:val="0"/>
                <w:numId w:val="14"/>
              </w:numPr>
              <w:tabs>
                <w:tab w:val="left" w:pos="0"/>
              </w:tabs>
              <w:ind w:left="0" w:firstLine="851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застосовувати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медіацію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інші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правові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інструменти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8E73AB">
              <w:rPr>
                <w:rFonts w:ascii="Times New Roman" w:hAnsi="Times New Roman"/>
                <w:szCs w:val="24"/>
                <w:lang w:val="ru-RU"/>
              </w:rPr>
              <w:t>альтернативного</w:t>
            </w:r>
            <w:proofErr w:type="gram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позасудового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розгляду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вирішення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правових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спорів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щодо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захисту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трудових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прав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державних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E73AB">
              <w:rPr>
                <w:rFonts w:ascii="Times New Roman" w:hAnsi="Times New Roman"/>
                <w:szCs w:val="24"/>
                <w:lang w:val="ru-RU"/>
              </w:rPr>
              <w:t>службовців</w:t>
            </w:r>
            <w:proofErr w:type="spellEnd"/>
            <w:r w:rsidRPr="008E73AB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>застосовувати міждисциплінарний підхід в реалізації державними службовцями своїх трудових прав та у питаннях їх дотримання у правозастосовній діяльності, у тому числі при вирішенні трудових спорів;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>критично оцінювати ефективність представництва і захисту прав, свобод та інтересів державних службовців як осіб, які реалізували своє право на працю шляхом вступу на державну службу.;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>самостійно готувати проекти ділової документації: наказів про прийом на державну службу, про переведення на іншу посаду та звільнення з посад державної служби, а також проекти контрактів на державній службі, враховуючи вимоги щодо їх законності, обґрунтованості та вмотивованості;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>обґрунтовано формулювати свою правову позицію щодо реалізації трудових прав державними службовцями, вміти опонувати, оцінювати докази та наводити переконливі аргументи на захист їх трудових прав та інтересів;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порівняльно-правовий аналіз інститутів робочого часу, </w:t>
            </w:r>
            <w:proofErr w:type="spellStart"/>
            <w:r w:rsidRPr="008E73AB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відпочинку, юридичної відповідальності, охорони праці державних службовців у різних правових системах, враховуючи взаємозв’язок правової системи України з правовими системами Ради Європи та Європейського Союзу;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>аналізувати та оцінювати практику застосування норм щодо вступу на державну службу, переведення державних службовців, звільнення з посад державної служби, оплати праці державних службовців, забезпечення належних, безпечних умов проходження державної служби та їх соціального захисту;</w:t>
            </w:r>
          </w:p>
          <w:p w:rsidR="008E73AB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розв’язувати проблеми, пов’язані з захистом трудових прав державних службовців, у випадках їх порушення; </w:t>
            </w:r>
          </w:p>
          <w:p w:rsidR="00061874" w:rsidRPr="008E73AB" w:rsidRDefault="008E73AB" w:rsidP="008E73AB">
            <w:pPr>
              <w:pStyle w:val="a4"/>
              <w:numPr>
                <w:ilvl w:val="0"/>
                <w:numId w:val="14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8E73AB">
              <w:rPr>
                <w:rFonts w:ascii="Times New Roman" w:hAnsi="Times New Roman" w:cs="Times New Roman"/>
                <w:sz w:val="24"/>
                <w:szCs w:val="24"/>
              </w:rPr>
              <w:t xml:space="preserve">інтегрувати необхідні знання та розв’язувати складні задачі щодо дотримання та захисту трудових прав державних службовців у різних державних </w:t>
            </w:r>
            <w:r w:rsidRPr="008E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та на різних посадах державної служби.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8115AA" w:rsidP="0081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Трудові правовідносини, право на працю, право на д</w:t>
            </w:r>
            <w:r w:rsidR="002A695A" w:rsidRPr="008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>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посада державної служби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 xml:space="preserve">, конкурс,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дисциплінарна відповідальність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Очний /заочний 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2A695A" w:rsidP="00BC0D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одаток (схема курсу)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</w:t>
            </w:r>
          </w:p>
          <w:p w:rsidR="00061874" w:rsidRPr="004E312E" w:rsidRDefault="002A695A" w:rsidP="002A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усний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2A695A" w:rsidP="002A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теорії держави і права, трудового, адміністративного, цивільного права, 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трудові відносини державних службовців,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джерел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 правового регулювання.</w:t>
            </w: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розробки)</w:t>
            </w:r>
            <w:r w:rsidR="002A6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5A"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проектно-орієнтоване навчання, </w:t>
            </w: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заміри</w:t>
            </w:r>
            <w:proofErr w:type="spellEnd"/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балів_</w:t>
            </w:r>
            <w:r w:rsidR="0082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ідсумкова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балів__</w:t>
            </w:r>
            <w:r w:rsidR="0082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7F02" w:rsidRPr="000D6114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Письмові</w:t>
            </w:r>
            <w:proofErr w:type="spellEnd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</w:t>
            </w:r>
            <w:proofErr w:type="gram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ється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виконають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декілька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</w:t>
            </w:r>
            <w:r w:rsidR="00827F02"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</w:t>
            </w:r>
            <w:proofErr w:type="spellEnd"/>
            <w:r w:rsidR="00827F02"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7F02"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827F02"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27F02" w:rsidRPr="000D6114" w:rsidRDefault="00827F02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gramStart"/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ідготу</w:t>
            </w:r>
            <w:r w:rsidR="00877F25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r w:rsidR="000D6114"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проекти наказів (розпоряджень) про призначення на державну службу, про переведення на іншу посаду та щодо звільнення з посад державної служби; </w:t>
            </w:r>
          </w:p>
          <w:p w:rsidR="00827F02" w:rsidRPr="000D6114" w:rsidRDefault="00827F02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2) підгот</w:t>
            </w:r>
            <w:r w:rsidR="000450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F25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r w:rsidR="000D6114"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проекти контрактів на державній службі;</w:t>
            </w:r>
          </w:p>
          <w:p w:rsidR="00827F02" w:rsidRPr="000D6114" w:rsidRDefault="00827F02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3) на основі запропонованого завдання (індивідуальне для кожного студента) оформ</w:t>
            </w:r>
            <w:r w:rsidR="00877F25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 письмову консультацію щодо захисту трудових прав осіб, які реалізують своє право на працю на державній службі</w:t>
            </w:r>
            <w:r w:rsidR="000D6114"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7F02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Академічна</w:t>
            </w:r>
            <w:proofErr w:type="spellEnd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0D6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ідженнями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ідставою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обману. </w:t>
            </w:r>
          </w:p>
          <w:p w:rsidR="00827F02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ється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відвідають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курсом.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874" w:rsidRPr="004E312E" w:rsidRDefault="00061874" w:rsidP="00BC0D4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4E31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4E31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61874" w:rsidRPr="004E312E" w:rsidRDefault="00061874" w:rsidP="00BC0D4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61874" w:rsidRPr="004E312E" w:rsidRDefault="00061874" w:rsidP="00BC0D4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480718" w:rsidP="0048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</w:t>
            </w:r>
            <w:r w:rsidR="00061874" w:rsidRPr="004E31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Default="00827F02" w:rsidP="0048071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061874" w:rsidRPr="004E31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ерелік питань для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дення підсумкової оцінки знань.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Поняття та види державної служби.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Принципи державної служби.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Право на державну службу і право на працю: співвідношення понять.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службу» – основний нормативний акт, що регулює трудові відносини державних службовців.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Джерела права, що регулюють трудові відносини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 договірного характеру у врегулюванні трудових відносин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Поняття та види трудових правовідносин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Суб’єкти трудових правовідносин в системі державної служби: поняття та види.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Особливості правового статусу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Види трудових правовідносин працівників, які працюють в державних органах та їх апараті.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Правові підстави виникнення трудових правовідносин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Вимоги до осіб, які претендують на державну службу.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визначення відповідності кандидатів умовам конкурсу.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Обмеження вступу на державну службу.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Порядок формування конкурсної комісії та її діяльність.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проведення конкурсу на зайняття вакантної посади державної служби.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Порядок призначення на посаду державної служби.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проходження стажування державних службовців. Результати стажування.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Юридичне значення проведення конкурсного відбору.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Присяга державного службовця. Правові наслідки відмови державного службовця від складання Присяги.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Порядок оформлення прийому на державну службу.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істотних умов державної служби: поняття та підстави проведення.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Особливості переведення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Порядок підготовки, перепідготовки, спеціалізації та підвищення кваліфікації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стажування державних службовців. Результати стажування.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робочого часу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Особливості залучення державних службовців до роботи в нічний час, у святкові, неробочі та вихідні дні.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Особливості відсторонення державних службовців від виконання повноважень за посадою.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Час відпочинку державних службовців та особливості його правового регулювання. Види часу відпочинку.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 умови надання щорічних основної та додаткових відпусток державним службовцям.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Відкликання із щорічних відпусток.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оплати праці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державним службовцям.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Методи забезпечення службової дисципліни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Заходи заохочення за сумлінну працю, які застосовуються до державних службовців. Порядок їх застосування.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Дисциплінарна відповідальність державних службовців: поняття та підстави.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Дисциплінарний проступок – як підстава дисциплінарної відповідальності державного службовця.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Види та порядок застосування дисциплінарних стягнення до державних службовців.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Особливості проведення службового розслідування щодо державного службовця.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Підстави та порядок відсторонення державного службовця від виконання посадових обов’язків.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Матеріальна відповідальність державних службовців. Порядок відшкодування шкоди державним службовцем.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 xml:space="preserve">Пенсійне забезпечення державних службовців. Підстави надання пенсій державним службовцям. </w:t>
            </w:r>
          </w:p>
          <w:p w:rsidR="00480718" w:rsidRPr="00572755" w:rsidRDefault="00480718" w:rsidP="00572755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sz w:val="24"/>
                <w:szCs w:val="24"/>
              </w:rPr>
              <w:t>Соціально-побутове забезпечення державного службовця.</w:t>
            </w:r>
          </w:p>
          <w:p w:rsidR="00827F02" w:rsidRPr="004E312E" w:rsidRDefault="00827F02" w:rsidP="00827F0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4" w:rsidRPr="004E312E" w:rsidTr="008E73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61874" w:rsidRPr="004E312E" w:rsidRDefault="00061874" w:rsidP="00061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74" w:rsidRPr="004E312E" w:rsidRDefault="00061874" w:rsidP="00061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74" w:rsidRPr="00E54F04" w:rsidRDefault="00061874" w:rsidP="00EC455E">
      <w:pPr>
        <w:rPr>
          <w:rFonts w:ascii="Times New Roman" w:hAnsi="Times New Roman" w:cs="Times New Roman"/>
          <w:b/>
          <w:sz w:val="24"/>
          <w:szCs w:val="24"/>
        </w:rPr>
      </w:pPr>
      <w:r w:rsidRPr="00E54F04">
        <w:rPr>
          <w:rFonts w:ascii="Times New Roman" w:hAnsi="Times New Roman" w:cs="Times New Roman"/>
          <w:b/>
          <w:sz w:val="24"/>
          <w:szCs w:val="24"/>
        </w:rPr>
        <w:t>Схема курсу</w:t>
      </w:r>
    </w:p>
    <w:tbl>
      <w:tblPr>
        <w:tblW w:w="109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84"/>
        <w:gridCol w:w="2410"/>
        <w:gridCol w:w="3402"/>
        <w:gridCol w:w="1276"/>
        <w:gridCol w:w="850"/>
      </w:tblGrid>
      <w:tr w:rsidR="00061874" w:rsidRPr="004E312E" w:rsidTr="008E73AB">
        <w:tc>
          <w:tcPr>
            <w:tcW w:w="1067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Тиж</w:t>
            </w:r>
            <w:proofErr w:type="spellEnd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. / дата /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год.-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2410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402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Література.*** Ресурси в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 xml:space="preserve">Завдання, </w:t>
            </w:r>
            <w:proofErr w:type="spellStart"/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61874" w:rsidRPr="004E312E" w:rsidTr="008E73AB">
        <w:tc>
          <w:tcPr>
            <w:tcW w:w="1067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61874" w:rsidRPr="00E37466" w:rsidRDefault="00E37466" w:rsidP="00BC0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66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</w:t>
            </w: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на </w:t>
            </w:r>
            <w:r w:rsidRPr="00E37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державну службу та право на працю. Правове регулювання трудових відносин державних службовців. Трудові правовідносини державних службовців</w:t>
            </w:r>
          </w:p>
          <w:p w:rsidR="00E37466" w:rsidRPr="00E37466" w:rsidRDefault="00E37466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 xml:space="preserve">Поняття державної служби та її правове регулювання. </w:t>
            </w:r>
          </w:p>
          <w:p w:rsidR="00E37466" w:rsidRPr="00E37466" w:rsidRDefault="00E37466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>Трудові правовідносин державних службовців.</w:t>
            </w:r>
          </w:p>
          <w:p w:rsidR="00E37466" w:rsidRPr="00E37466" w:rsidRDefault="00E37466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66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</w:t>
            </w: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7466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виникнення, зміни та припинення трудових відносин державних службовців. Соціальних захист державних службовців.</w:t>
            </w:r>
          </w:p>
          <w:p w:rsidR="00E37466" w:rsidRPr="00E37466" w:rsidRDefault="00E37466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 xml:space="preserve">Підстави виникнення трудових відносин державних службовців та проходження державної служби. Підстави та порядок припинення </w:t>
            </w:r>
            <w:r w:rsidRPr="00E3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державної служби. Правове регулювання робочого часу, </w:t>
            </w:r>
            <w:proofErr w:type="spellStart"/>
            <w:r w:rsidRPr="00E37466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 w:rsidRPr="00E37466"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відпочинку та оплати праці державних службовців.</w:t>
            </w:r>
          </w:p>
          <w:p w:rsidR="00E37466" w:rsidRPr="00E37466" w:rsidRDefault="00E37466" w:rsidP="00BC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>Дисциплінарна та матеріаль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відповідаль</w:t>
            </w: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>ність державних службовців.</w:t>
            </w:r>
          </w:p>
          <w:p w:rsidR="00E37466" w:rsidRPr="008E73AB" w:rsidRDefault="00E37466" w:rsidP="00BC0D4A">
            <w:pPr>
              <w:jc w:val="both"/>
              <w:rPr>
                <w:sz w:val="28"/>
                <w:szCs w:val="28"/>
              </w:rPr>
            </w:pPr>
            <w:r w:rsidRPr="00E37466">
              <w:rPr>
                <w:rFonts w:ascii="Times New Roman" w:hAnsi="Times New Roman" w:cs="Times New Roman"/>
                <w:sz w:val="24"/>
                <w:szCs w:val="24"/>
              </w:rPr>
              <w:t>Правові засади соціального захисту державних службовців.</w:t>
            </w:r>
          </w:p>
        </w:tc>
        <w:tc>
          <w:tcPr>
            <w:tcW w:w="2410" w:type="dxa"/>
            <w:shd w:val="clear" w:color="auto" w:fill="auto"/>
          </w:tcPr>
          <w:p w:rsidR="00E37466" w:rsidRPr="008047A2" w:rsidRDefault="00E37466" w:rsidP="00E37466">
            <w:pPr>
              <w:jc w:val="both"/>
              <w:rPr>
                <w:i/>
              </w:rPr>
            </w:pPr>
            <w:r w:rsidRPr="008047A2">
              <w:rPr>
                <w:i/>
              </w:rPr>
              <w:lastRenderedPageBreak/>
              <w:t xml:space="preserve">Лекція </w:t>
            </w:r>
            <w:r>
              <w:rPr>
                <w:i/>
              </w:rPr>
              <w:t xml:space="preserve">__ </w:t>
            </w:r>
            <w:proofErr w:type="spellStart"/>
            <w:r w:rsidRPr="008047A2">
              <w:rPr>
                <w:i/>
              </w:rPr>
              <w:t>год</w:t>
            </w:r>
            <w:proofErr w:type="spellEnd"/>
          </w:p>
          <w:p w:rsidR="00061874" w:rsidRPr="004E312E" w:rsidRDefault="00E37466" w:rsidP="00E37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7A2">
              <w:rPr>
                <w:i/>
              </w:rPr>
              <w:t>Практичне</w:t>
            </w:r>
          </w:p>
        </w:tc>
        <w:tc>
          <w:tcPr>
            <w:tcW w:w="3402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1874" w:rsidRPr="004E312E" w:rsidRDefault="00061874" w:rsidP="00BC0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1874" w:rsidRPr="004E312E" w:rsidRDefault="00061874" w:rsidP="0006187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1874" w:rsidRPr="004E312E" w:rsidRDefault="00061874" w:rsidP="0006187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8F7" w:rsidRPr="00D40430" w:rsidRDefault="000068F7" w:rsidP="00D40430">
      <w:pPr>
        <w:rPr>
          <w:rFonts w:ascii="Times New Roman" w:hAnsi="Times New Roman" w:cs="Times New Roman"/>
          <w:sz w:val="24"/>
          <w:szCs w:val="24"/>
        </w:rPr>
      </w:pPr>
    </w:p>
    <w:sectPr w:rsidR="000068F7" w:rsidRPr="00D40430" w:rsidSect="008E73AB">
      <w:pgSz w:w="11906" w:h="16838"/>
      <w:pgMar w:top="850" w:right="284" w:bottom="2521" w:left="85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642"/>
    <w:multiLevelType w:val="hybridMultilevel"/>
    <w:tmpl w:val="EB3C1C96"/>
    <w:lvl w:ilvl="0" w:tplc="85A0C9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04A1"/>
    <w:multiLevelType w:val="hybridMultilevel"/>
    <w:tmpl w:val="A5D6A53E"/>
    <w:lvl w:ilvl="0" w:tplc="2B8CEF7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662B"/>
    <w:multiLevelType w:val="hybridMultilevel"/>
    <w:tmpl w:val="B712C3FE"/>
    <w:lvl w:ilvl="0" w:tplc="C22A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627"/>
    <w:multiLevelType w:val="hybridMultilevel"/>
    <w:tmpl w:val="C394B5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FBB53C1"/>
    <w:multiLevelType w:val="hybridMultilevel"/>
    <w:tmpl w:val="F44E1134"/>
    <w:lvl w:ilvl="0" w:tplc="437A2A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F07DEF"/>
    <w:multiLevelType w:val="hybridMultilevel"/>
    <w:tmpl w:val="B2CAA0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547F3"/>
    <w:multiLevelType w:val="hybridMultilevel"/>
    <w:tmpl w:val="1850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F6D59"/>
    <w:multiLevelType w:val="hybridMultilevel"/>
    <w:tmpl w:val="9AB2038A"/>
    <w:lvl w:ilvl="0" w:tplc="C22A767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60585E88"/>
    <w:multiLevelType w:val="hybridMultilevel"/>
    <w:tmpl w:val="B0D45D0A"/>
    <w:lvl w:ilvl="0" w:tplc="0422000F">
      <w:start w:val="1"/>
      <w:numFmt w:val="decimal"/>
      <w:lvlText w:val="%1."/>
      <w:lvlJc w:val="left"/>
      <w:pPr>
        <w:ind w:left="2520" w:hanging="360"/>
      </w:p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ABF7037"/>
    <w:multiLevelType w:val="hybridMultilevel"/>
    <w:tmpl w:val="EB3C1C96"/>
    <w:lvl w:ilvl="0" w:tplc="85A0C9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45FB4"/>
    <w:multiLevelType w:val="hybridMultilevel"/>
    <w:tmpl w:val="1BB2C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F"/>
    <w:rsid w:val="00000356"/>
    <w:rsid w:val="000068F7"/>
    <w:rsid w:val="00045059"/>
    <w:rsid w:val="00061874"/>
    <w:rsid w:val="00070171"/>
    <w:rsid w:val="0009088D"/>
    <w:rsid w:val="000D6114"/>
    <w:rsid w:val="001712C1"/>
    <w:rsid w:val="001815AF"/>
    <w:rsid w:val="002210CC"/>
    <w:rsid w:val="002A695A"/>
    <w:rsid w:val="004013E4"/>
    <w:rsid w:val="00480718"/>
    <w:rsid w:val="004C3AF3"/>
    <w:rsid w:val="004E33CD"/>
    <w:rsid w:val="00572755"/>
    <w:rsid w:val="005E0399"/>
    <w:rsid w:val="005E3CEA"/>
    <w:rsid w:val="00685803"/>
    <w:rsid w:val="00715092"/>
    <w:rsid w:val="00735ECE"/>
    <w:rsid w:val="007A0D7F"/>
    <w:rsid w:val="007A46FF"/>
    <w:rsid w:val="008027DC"/>
    <w:rsid w:val="008115AA"/>
    <w:rsid w:val="00827F02"/>
    <w:rsid w:val="00877F25"/>
    <w:rsid w:val="008E73AB"/>
    <w:rsid w:val="00A85668"/>
    <w:rsid w:val="00AA5C68"/>
    <w:rsid w:val="00B128DB"/>
    <w:rsid w:val="00C50FA9"/>
    <w:rsid w:val="00D40430"/>
    <w:rsid w:val="00E1446D"/>
    <w:rsid w:val="00E37466"/>
    <w:rsid w:val="00E670D3"/>
    <w:rsid w:val="00EC455E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8F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3">
    <w:name w:val="heading 3"/>
    <w:basedOn w:val="a"/>
    <w:next w:val="a"/>
    <w:link w:val="30"/>
    <w:qFormat/>
    <w:rsid w:val="001712C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8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8F7"/>
    <w:pPr>
      <w:ind w:left="720"/>
      <w:contextualSpacing/>
    </w:pPr>
  </w:style>
  <w:style w:type="paragraph" w:styleId="a5">
    <w:name w:val="Body Text"/>
    <w:basedOn w:val="a"/>
    <w:link w:val="a6"/>
    <w:rsid w:val="001712C1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1712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endnote text"/>
    <w:basedOn w:val="a"/>
    <w:link w:val="a8"/>
    <w:semiHidden/>
    <w:unhideWhenUsed/>
    <w:rsid w:val="001712C1"/>
    <w:rPr>
      <w:rFonts w:asciiTheme="minorHAnsi" w:eastAsiaTheme="minorHAnsi" w:hAnsiTheme="minorHAnsi" w:cstheme="minorBidi"/>
      <w:lang w:val="ru-RU"/>
    </w:rPr>
  </w:style>
  <w:style w:type="character" w:customStyle="1" w:styleId="a8">
    <w:name w:val="Текст кінцевої виноски Знак"/>
    <w:basedOn w:val="a0"/>
    <w:link w:val="a7"/>
    <w:semiHidden/>
    <w:rsid w:val="001712C1"/>
    <w:rPr>
      <w:sz w:val="20"/>
      <w:szCs w:val="20"/>
      <w:lang w:val="ru-RU"/>
    </w:rPr>
  </w:style>
  <w:style w:type="paragraph" w:styleId="a9">
    <w:name w:val="footnote text"/>
    <w:basedOn w:val="a"/>
    <w:link w:val="aa"/>
    <w:semiHidden/>
    <w:rsid w:val="001712C1"/>
    <w:rPr>
      <w:rFonts w:ascii="Times New Roman" w:eastAsia="Times New Roman" w:hAnsi="Times New Roman" w:cs="Times New Roman"/>
      <w:lang w:val="ru-RU" w:eastAsia="ru-RU"/>
    </w:rPr>
  </w:style>
  <w:style w:type="character" w:customStyle="1" w:styleId="aa">
    <w:name w:val="Текст виноски Знак"/>
    <w:basedOn w:val="a0"/>
    <w:link w:val="a9"/>
    <w:semiHidden/>
    <w:rsid w:val="001712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171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2C1"/>
    <w:pPr>
      <w:widowControl w:val="0"/>
      <w:shd w:val="clear" w:color="auto" w:fill="FFFFFF"/>
      <w:spacing w:before="660" w:after="15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712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Bullets1">
    <w:name w:val="Bullets1"/>
    <w:basedOn w:val="a"/>
    <w:rsid w:val="008E73AB"/>
    <w:pPr>
      <w:widowControl w:val="0"/>
      <w:spacing w:after="20"/>
      <w:ind w:left="396" w:hanging="283"/>
      <w:jc w:val="both"/>
    </w:pPr>
    <w:rPr>
      <w:rFonts w:ascii="Arial" w:eastAsia="Times New Roman" w:hAnsi="Arial" w:cs="Times New Roman"/>
      <w:sz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8F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3">
    <w:name w:val="heading 3"/>
    <w:basedOn w:val="a"/>
    <w:next w:val="a"/>
    <w:link w:val="30"/>
    <w:qFormat/>
    <w:rsid w:val="001712C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8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8F7"/>
    <w:pPr>
      <w:ind w:left="720"/>
      <w:contextualSpacing/>
    </w:pPr>
  </w:style>
  <w:style w:type="paragraph" w:styleId="a5">
    <w:name w:val="Body Text"/>
    <w:basedOn w:val="a"/>
    <w:link w:val="a6"/>
    <w:rsid w:val="001712C1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1712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endnote text"/>
    <w:basedOn w:val="a"/>
    <w:link w:val="a8"/>
    <w:semiHidden/>
    <w:unhideWhenUsed/>
    <w:rsid w:val="001712C1"/>
    <w:rPr>
      <w:rFonts w:asciiTheme="minorHAnsi" w:eastAsiaTheme="minorHAnsi" w:hAnsiTheme="minorHAnsi" w:cstheme="minorBidi"/>
      <w:lang w:val="ru-RU"/>
    </w:rPr>
  </w:style>
  <w:style w:type="character" w:customStyle="1" w:styleId="a8">
    <w:name w:val="Текст кінцевої виноски Знак"/>
    <w:basedOn w:val="a0"/>
    <w:link w:val="a7"/>
    <w:semiHidden/>
    <w:rsid w:val="001712C1"/>
    <w:rPr>
      <w:sz w:val="20"/>
      <w:szCs w:val="20"/>
      <w:lang w:val="ru-RU"/>
    </w:rPr>
  </w:style>
  <w:style w:type="paragraph" w:styleId="a9">
    <w:name w:val="footnote text"/>
    <w:basedOn w:val="a"/>
    <w:link w:val="aa"/>
    <w:semiHidden/>
    <w:rsid w:val="001712C1"/>
    <w:rPr>
      <w:rFonts w:ascii="Times New Roman" w:eastAsia="Times New Roman" w:hAnsi="Times New Roman" w:cs="Times New Roman"/>
      <w:lang w:val="ru-RU" w:eastAsia="ru-RU"/>
    </w:rPr>
  </w:style>
  <w:style w:type="character" w:customStyle="1" w:styleId="aa">
    <w:name w:val="Текст виноски Знак"/>
    <w:basedOn w:val="a0"/>
    <w:link w:val="a9"/>
    <w:semiHidden/>
    <w:rsid w:val="001712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171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2C1"/>
    <w:pPr>
      <w:widowControl w:val="0"/>
      <w:shd w:val="clear" w:color="auto" w:fill="FFFFFF"/>
      <w:spacing w:before="660" w:after="15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712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Bullets1">
    <w:name w:val="Bullets1"/>
    <w:basedOn w:val="a"/>
    <w:rsid w:val="008E73AB"/>
    <w:pPr>
      <w:widowControl w:val="0"/>
      <w:spacing w:after="20"/>
      <w:ind w:left="396" w:hanging="283"/>
      <w:jc w:val="both"/>
    </w:pPr>
    <w:rPr>
      <w:rFonts w:ascii="Arial" w:eastAsia="Times New Roman" w:hAnsi="Arial" w:cs="Times New Roman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19940019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w.lnu.edu.ua/department/kafedra-soc-pra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yana.parpan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com.ua/books?hl=uk&amp;lr=&amp;id=63C4fSrcpvYC&amp;oi=fnd&amp;pg=PA1&amp;dq=civil+service+scientific+article&amp;ots=P1i0pF8BY9&amp;sig=XEhYbNU2_P9KYx928Ofu1jrmQtE&amp;red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rutrKm27G5KpoW8Pkr0d1yNtwI1Xbwg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10706</Words>
  <Characters>6103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LNU</cp:lastModifiedBy>
  <cp:revision>3</cp:revision>
  <dcterms:created xsi:type="dcterms:W3CDTF">2021-04-04T22:45:00Z</dcterms:created>
  <dcterms:modified xsi:type="dcterms:W3CDTF">2021-04-04T23:50:00Z</dcterms:modified>
</cp:coreProperties>
</file>