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2407" w14:textId="77777777" w:rsidR="00C737E1" w:rsidRPr="00773AF0" w:rsidRDefault="00C737E1" w:rsidP="00C737E1">
      <w:pPr>
        <w:spacing w:after="0"/>
        <w:jc w:val="center"/>
        <w:rPr>
          <w:rFonts w:ascii="Century Schoolbook" w:eastAsia="Calibri" w:hAnsi="Century Schoolbook" w:cs="Times New Roman"/>
          <w:b/>
          <w:sz w:val="24"/>
          <w:szCs w:val="24"/>
        </w:rPr>
      </w:pPr>
      <w:r w:rsidRPr="00773AF0">
        <w:rPr>
          <w:rFonts w:ascii="Century Schoolbook" w:eastAsia="Calibri" w:hAnsi="Century Schoolbook" w:cs="Times New Roman"/>
          <w:sz w:val="24"/>
          <w:szCs w:val="24"/>
        </w:rPr>
        <w:t>Т</w:t>
      </w:r>
      <w:r w:rsidRPr="00773AF0">
        <w:rPr>
          <w:rFonts w:ascii="Century Schoolbook" w:eastAsia="Calibri" w:hAnsi="Century Schoolbook" w:cs="Times New Roman"/>
          <w:b/>
          <w:sz w:val="24"/>
          <w:szCs w:val="24"/>
        </w:rPr>
        <w:t>ема 3 Права фізичної особи у сфері охорони здоров’я та надання медичних послуг</w:t>
      </w:r>
    </w:p>
    <w:p w14:paraId="36A6EAB9" w14:textId="77777777" w:rsidR="00C737E1" w:rsidRPr="00110A6A" w:rsidRDefault="00C737E1" w:rsidP="00C737E1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Право на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охорону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здоров'я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. </w:t>
      </w:r>
    </w:p>
    <w:p w14:paraId="3C878E4E" w14:textId="77777777" w:rsidR="00C737E1" w:rsidRPr="00110A6A" w:rsidRDefault="00C737E1" w:rsidP="00C737E1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Право на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медичну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допомогу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14:paraId="376B0AAC" w14:textId="77777777" w:rsidR="00C737E1" w:rsidRPr="00110A6A" w:rsidRDefault="00C737E1" w:rsidP="00C737E1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Право на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інформацію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r w:rsidRPr="00110A6A">
        <w:rPr>
          <w:rFonts w:ascii="Century Schoolbook" w:eastAsia="Calibri" w:hAnsi="Century Schoolbook" w:cs="Times New Roman"/>
          <w:sz w:val="24"/>
          <w:szCs w:val="24"/>
        </w:rPr>
        <w:t xml:space="preserve">та таємницю </w:t>
      </w:r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про стан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свого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здоров'я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.  </w:t>
      </w:r>
    </w:p>
    <w:p w14:paraId="20853523" w14:textId="77777777" w:rsidR="00C737E1" w:rsidRPr="00110A6A" w:rsidRDefault="00C737E1" w:rsidP="00C737E1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Права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фізичної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особи, яка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перебуває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на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стаціонарному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лікуванні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у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закладі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охорони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здоров'я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14:paraId="31545296" w14:textId="77777777" w:rsidR="00C737E1" w:rsidRPr="00110A6A" w:rsidRDefault="00C737E1" w:rsidP="00C737E1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Особливості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реалізації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права на донорство. </w:t>
      </w:r>
      <w:proofErr w:type="spellStart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>Види</w:t>
      </w:r>
      <w:proofErr w:type="spellEnd"/>
      <w:r w:rsidRPr="00110A6A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донорства</w:t>
      </w:r>
      <w:r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14:paraId="2F90E64D" w14:textId="77777777" w:rsidR="00C737E1" w:rsidRDefault="00C737E1" w:rsidP="00C73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Century Schoolbook" w:eastAsia="Times New Roman" w:hAnsi="Century Schoolbook" w:cs="Courier New"/>
          <w:b/>
          <w:bCs/>
          <w:sz w:val="24"/>
          <w:szCs w:val="24"/>
          <w:shd w:val="clear" w:color="auto" w:fill="FFFFFF"/>
          <w:lang w:eastAsia="ru-RU"/>
        </w:rPr>
      </w:pPr>
    </w:p>
    <w:p w14:paraId="5E8A3B88" w14:textId="2B171517" w:rsidR="00C737E1" w:rsidRPr="00773AF0" w:rsidRDefault="00C737E1" w:rsidP="00C73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Century Schoolbook" w:eastAsia="Times New Roman" w:hAnsi="Century Schoolbook" w:cs="Courier New"/>
          <w:b/>
          <w:bCs/>
          <w:sz w:val="24"/>
          <w:szCs w:val="24"/>
          <w:shd w:val="clear" w:color="auto" w:fill="FFFFFF"/>
          <w:lang w:eastAsia="ru-RU"/>
        </w:rPr>
      </w:pPr>
      <w:r w:rsidRPr="00773AF0">
        <w:rPr>
          <w:rFonts w:ascii="Century Schoolbook" w:eastAsia="Times New Roman" w:hAnsi="Century Schoolbook" w:cs="Courier New"/>
          <w:b/>
          <w:bCs/>
          <w:sz w:val="24"/>
          <w:szCs w:val="24"/>
          <w:shd w:val="clear" w:color="auto" w:fill="FFFFFF"/>
          <w:lang w:eastAsia="ru-RU"/>
        </w:rPr>
        <w:t xml:space="preserve">Завдання 1 </w:t>
      </w:r>
    </w:p>
    <w:p w14:paraId="781AC883" w14:textId="77777777" w:rsidR="00C737E1" w:rsidRPr="00773AF0" w:rsidRDefault="00C737E1" w:rsidP="00C737E1">
      <w:pPr>
        <w:spacing w:after="0"/>
        <w:ind w:firstLine="567"/>
        <w:jc w:val="both"/>
        <w:outlineLvl w:val="0"/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</w:pPr>
      <w:r w:rsidRPr="00773AF0">
        <w:rPr>
          <w:rFonts w:ascii="Century Schoolbook" w:eastAsia="Times New Roman" w:hAnsi="Century Schoolbook" w:cs="Times New Roman"/>
          <w:kern w:val="36"/>
          <w:sz w:val="24"/>
          <w:szCs w:val="24"/>
          <w:shd w:val="clear" w:color="auto" w:fill="FFFFFF"/>
          <w:lang w:eastAsia="ru-RU"/>
        </w:rPr>
        <w:t>Проаналізуйте ст. 298 ЦК України, ст.</w:t>
      </w:r>
      <w:r>
        <w:rPr>
          <w:rFonts w:ascii="Century Schoolbook" w:eastAsia="Times New Roman" w:hAnsi="Century Schoolbook" w:cs="Times New Roman"/>
          <w:kern w:val="36"/>
          <w:sz w:val="24"/>
          <w:szCs w:val="24"/>
          <w:shd w:val="clear" w:color="auto" w:fill="FFFFFF"/>
          <w:lang w:eastAsia="ru-RU"/>
        </w:rPr>
        <w:t xml:space="preserve"> 16 </w:t>
      </w:r>
      <w:bookmarkStart w:id="0" w:name="_Hlk66688579"/>
      <w:r>
        <w:rPr>
          <w:rFonts w:ascii="Century Schoolbook" w:eastAsia="Times New Roman" w:hAnsi="Century Schoolbook" w:cs="Times New Roman"/>
          <w:kern w:val="36"/>
          <w:sz w:val="24"/>
          <w:szCs w:val="24"/>
          <w:shd w:val="clear" w:color="auto" w:fill="FFFFFF"/>
          <w:lang w:eastAsia="ru-RU"/>
        </w:rPr>
        <w:t>ЗУ «Про</w:t>
      </w:r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>застосування</w:t>
      </w:r>
      <w:proofErr w:type="spellEnd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>трансплантації</w:t>
      </w:r>
      <w:proofErr w:type="spellEnd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>анатомічних</w:t>
      </w:r>
      <w:proofErr w:type="spellEnd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>матеріалів</w:t>
      </w:r>
      <w:proofErr w:type="spellEnd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val="ru-RU" w:eastAsia="ru-RU"/>
        </w:rPr>
        <w:t>людині</w:t>
      </w:r>
      <w:proofErr w:type="spellEnd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>»</w:t>
      </w:r>
      <w:bookmarkEnd w:id="0"/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 xml:space="preserve">. </w:t>
      </w:r>
      <w:r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 xml:space="preserve">Чи правильним є запровадження в національному законодавстві «Презумпції незгоди» щодо трансплантації анатомічних матеріалів? </w:t>
      </w:r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 xml:space="preserve">Чи можна вважати порушенням права на повагу до тіла померлої особи вилучення у неї </w:t>
      </w:r>
      <w:r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>анатомічних матеріалів</w:t>
      </w:r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 xml:space="preserve"> для подальшої трансплантації на підставі наданої </w:t>
      </w:r>
      <w:r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>від імені членів її сім’ї згоди?</w:t>
      </w:r>
      <w:r w:rsidRPr="00773AF0"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 xml:space="preserve"> Відповідь обґрунтуйте. </w:t>
      </w:r>
      <w:r>
        <w:rPr>
          <w:rFonts w:ascii="Century Schoolbook" w:eastAsia="Times New Roman" w:hAnsi="Century Schoolbook" w:cs="Arial"/>
          <w:kern w:val="36"/>
          <w:sz w:val="24"/>
          <w:szCs w:val="24"/>
          <w:lang w:eastAsia="ru-RU"/>
        </w:rPr>
        <w:t xml:space="preserve"> </w:t>
      </w:r>
    </w:p>
    <w:p w14:paraId="1994D752" w14:textId="77777777" w:rsidR="00C737E1" w:rsidRPr="00773AF0" w:rsidRDefault="00C737E1" w:rsidP="00C737E1">
      <w:pPr>
        <w:spacing w:after="0"/>
        <w:ind w:firstLine="567"/>
        <w:outlineLvl w:val="0"/>
        <w:rPr>
          <w:rFonts w:ascii="Century Schoolbook" w:eastAsia="Times New Roman" w:hAnsi="Century Schoolbook" w:cs="Times New Roman"/>
          <w:b/>
          <w:kern w:val="36"/>
          <w:sz w:val="24"/>
          <w:szCs w:val="24"/>
          <w:lang w:eastAsia="ru-RU"/>
        </w:rPr>
      </w:pPr>
      <w:r w:rsidRPr="00773AF0">
        <w:rPr>
          <w:rFonts w:ascii="Century Schoolbook" w:eastAsia="Times New Roman" w:hAnsi="Century Schoolbook" w:cs="Times New Roman"/>
          <w:b/>
          <w:kern w:val="36"/>
          <w:sz w:val="24"/>
          <w:szCs w:val="24"/>
          <w:lang w:eastAsia="ru-RU"/>
        </w:rPr>
        <w:t>Завдання 2</w:t>
      </w:r>
    </w:p>
    <w:p w14:paraId="7E15187C" w14:textId="77777777" w:rsidR="00C737E1" w:rsidRPr="00773AF0" w:rsidRDefault="00C737E1" w:rsidP="00C737E1">
      <w:pPr>
        <w:shd w:val="clear" w:color="auto" w:fill="FFFFFF"/>
        <w:spacing w:after="0"/>
        <w:ind w:firstLine="567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773AF0">
        <w:rPr>
          <w:rFonts w:ascii="Century Schoolbook" w:eastAsia="Calibri" w:hAnsi="Century Schoolbook" w:cs="Times New Roman"/>
          <w:bCs/>
          <w:sz w:val="24"/>
          <w:szCs w:val="24"/>
        </w:rPr>
        <w:t xml:space="preserve">Проаналізуйте ст. 286 ЦК України, ст. 30 СК України, ст. 40 ЗУ </w:t>
      </w:r>
      <w:r w:rsidRPr="00773AF0">
        <w:rPr>
          <w:rFonts w:ascii="Century Schoolbook" w:eastAsia="Calibri" w:hAnsi="Century Schoolbook" w:cs="Times New Roman"/>
          <w:sz w:val="24"/>
          <w:szCs w:val="24"/>
        </w:rPr>
        <w:t>«</w:t>
      </w:r>
      <w:r w:rsidRPr="00773AF0">
        <w:rPr>
          <w:rFonts w:ascii="Century Schoolbook" w:eastAsia="Calibri" w:hAnsi="Century Schoolbook" w:cs="Times New Roman"/>
          <w:bCs/>
          <w:sz w:val="24"/>
          <w:szCs w:val="24"/>
          <w:shd w:val="clear" w:color="auto" w:fill="FFFFFF"/>
        </w:rPr>
        <w:t>Основи законодавства України про охорону здоров'я»,</w:t>
      </w:r>
      <w:r w:rsidRPr="00773AF0">
        <w:rPr>
          <w:rFonts w:ascii="Century Schoolbook" w:eastAsia="Calibri" w:hAnsi="Century Schoolbook" w:cs="Times New Roman"/>
          <w:bCs/>
          <w:sz w:val="24"/>
          <w:szCs w:val="24"/>
        </w:rPr>
        <w:t xml:space="preserve"> ЗУ «Про психіатричну допомогу», ЗУ «</w:t>
      </w:r>
      <w:r w:rsidRPr="00773AF0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 xml:space="preserve">Про протидію поширенню </w:t>
      </w:r>
      <w:proofErr w:type="spellStart"/>
      <w:r w:rsidRPr="00773AF0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хвороб</w:t>
      </w:r>
      <w:proofErr w:type="spellEnd"/>
      <w:r w:rsidRPr="00773AF0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, зумовлених вірусом імунодефіциту людини (ВІЛ), та правовий і соціальний захист людей, які живуть з ВІЛ»</w:t>
      </w:r>
      <w:r w:rsidRPr="00773AF0">
        <w:rPr>
          <w:rFonts w:ascii="Century Schoolbook" w:eastAsia="Calibri" w:hAnsi="Century Schoolbook" w:cs="Times New Roman"/>
          <w:sz w:val="24"/>
          <w:szCs w:val="24"/>
        </w:rPr>
        <w:t>, ЗУ</w:t>
      </w:r>
      <w:hyperlink r:id="rId5" w:tgtFrame="_blank" w:history="1">
        <w:r w:rsidRPr="00773AF0">
          <w:rPr>
            <w:rFonts w:ascii="Century Schoolbook" w:eastAsia="Times New Roman" w:hAnsi="Century Schoolbook" w:cs="Times New Roman"/>
            <w:bCs/>
            <w:sz w:val="24"/>
            <w:szCs w:val="24"/>
            <w:u w:val="single"/>
            <w:lang w:eastAsia="ru-RU"/>
          </w:rPr>
          <w:t xml:space="preserve"> «Про заходи протидії незаконному обігу наркотичних засобів, психотропних речовин і прекурсорів та зловживанню ними»</w:t>
        </w:r>
      </w:hyperlink>
      <w:r w:rsidRPr="00773AF0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, ЗУ «Про боротьбу із захворюванням на туберкульоз» та з’ясуйте:</w:t>
      </w:r>
    </w:p>
    <w:p w14:paraId="0A5959FE" w14:textId="77777777" w:rsidR="00C737E1" w:rsidRPr="00773AF0" w:rsidRDefault="00C737E1" w:rsidP="00C737E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773AF0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чи може вважатися правомірним розголошення лікарської таємниці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?</w:t>
      </w:r>
    </w:p>
    <w:p w14:paraId="20DE0C03" w14:textId="77777777" w:rsidR="00C737E1" w:rsidRPr="00773AF0" w:rsidRDefault="00C737E1" w:rsidP="00C737E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773AF0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чи не буде розголошення лікарської таємниці порушенням права на т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аємницю про стан здоров’я особи?</w:t>
      </w:r>
    </w:p>
    <w:p w14:paraId="18F96A37" w14:textId="77777777" w:rsidR="00C737E1" w:rsidRPr="00773AF0" w:rsidRDefault="00C737E1" w:rsidP="00C737E1">
      <w:pPr>
        <w:shd w:val="clear" w:color="auto" w:fill="FFFFFF"/>
        <w:spacing w:after="0"/>
        <w:ind w:firstLine="567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 w:rsidRPr="00773AF0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Завдання 3</w:t>
      </w:r>
    </w:p>
    <w:p w14:paraId="336C74E2" w14:textId="77777777" w:rsidR="00C737E1" w:rsidRPr="00110A6A" w:rsidRDefault="00C737E1" w:rsidP="00C737E1">
      <w:pPr>
        <w:shd w:val="clear" w:color="auto" w:fill="FFFFFF"/>
        <w:spacing w:after="0"/>
        <w:ind w:firstLine="567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10A6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Громадянин Е, який навчається у закладі вищої освіти, вирішив стати донором крові, однак, не володіючи достатнім обсягом спеціальних знань щодо особливостей правового статусу донора, звернутися до юриста за роз’ясненням з питань, які стосуються:</w:t>
      </w:r>
    </w:p>
    <w:p w14:paraId="62CCCA38" w14:textId="77777777" w:rsidR="00C737E1" w:rsidRPr="00110A6A" w:rsidRDefault="00C737E1" w:rsidP="00C737E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10A6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принципів на яких здійснюється донорство крові; </w:t>
      </w:r>
    </w:p>
    <w:p w14:paraId="6576ACCE" w14:textId="77777777" w:rsidR="00C737E1" w:rsidRPr="00110A6A" w:rsidRDefault="00C737E1" w:rsidP="00C737E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10A6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прав та обов’язків донора; </w:t>
      </w:r>
    </w:p>
    <w:p w14:paraId="14D056EC" w14:textId="77777777" w:rsidR="00C737E1" w:rsidRPr="00110A6A" w:rsidRDefault="00C737E1" w:rsidP="00C737E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10A6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гарантій і пільг якими наділяються донори.</w:t>
      </w:r>
    </w:p>
    <w:p w14:paraId="17A3476C" w14:textId="77777777" w:rsidR="00C737E1" w:rsidRDefault="00C737E1" w:rsidP="00C737E1">
      <w:pPr>
        <w:shd w:val="clear" w:color="auto" w:fill="FFFFFF"/>
        <w:spacing w:after="0"/>
        <w:ind w:firstLine="567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10A6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Проаналізуйте ЗУ «</w:t>
      </w:r>
      <w:r w:rsidRPr="00C324BF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Про безпеку та якість донорської крові та компонентів крові</w:t>
      </w:r>
      <w:r w:rsidRPr="00110A6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», положення </w:t>
      </w:r>
      <w:r w:rsidRPr="00B902A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постанови Кабінету Міністрів України «Про підвищення рівня оплати давання донорами  крові та (або) її компонентів» та надайте студенту Е таку консультацію.</w:t>
      </w:r>
    </w:p>
    <w:p w14:paraId="513797A5" w14:textId="77777777" w:rsidR="00C737E1" w:rsidRPr="00C324BF" w:rsidRDefault="00C737E1" w:rsidP="00C737E1">
      <w:pPr>
        <w:shd w:val="clear" w:color="auto" w:fill="FFFFFF"/>
        <w:spacing w:after="0"/>
        <w:ind w:firstLine="567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</w:pPr>
      <w:r w:rsidRPr="00C324BF"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  <w:t>Завдання 4.</w:t>
      </w:r>
    </w:p>
    <w:p w14:paraId="5CC162A4" w14:textId="77777777" w:rsidR="00C737E1" w:rsidRDefault="00C737E1" w:rsidP="00C737E1">
      <w:pPr>
        <w:shd w:val="clear" w:color="auto" w:fill="FFFFFF"/>
        <w:spacing w:after="0"/>
        <w:ind w:firstLine="567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За допомогою аналізу </w:t>
      </w:r>
      <w:r w:rsidRPr="00C324BF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ЗУ «Про застосування трансплантації анатомічних матеріалів людині»</w:t>
      </w:r>
      <w:r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охарактеризуйте правову природу інституту представництва у сфері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трансплантології</w:t>
      </w:r>
      <w:proofErr w:type="spellEnd"/>
      <w:r>
        <w:rPr>
          <w:rFonts w:ascii="Century Schoolbook" w:eastAsia="Times New Roman" w:hAnsi="Century Schoolbook" w:cs="Times New Roman"/>
          <w:sz w:val="24"/>
          <w:szCs w:val="24"/>
          <w:lang w:eastAsia="ru-RU"/>
        </w:rPr>
        <w:t>.</w:t>
      </w:r>
    </w:p>
    <w:p w14:paraId="3842DA2D" w14:textId="77777777" w:rsidR="003D10B8" w:rsidRDefault="003D10B8"/>
    <w:sectPr w:rsidR="003D1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1FF7"/>
    <w:multiLevelType w:val="hybridMultilevel"/>
    <w:tmpl w:val="EF1A3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624"/>
    <w:multiLevelType w:val="hybridMultilevel"/>
    <w:tmpl w:val="4BB0FE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6E7218"/>
    <w:multiLevelType w:val="hybridMultilevel"/>
    <w:tmpl w:val="C3368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1"/>
    <w:rsid w:val="003D10B8"/>
    <w:rsid w:val="00C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257"/>
  <w15:chartTrackingRefBased/>
  <w15:docId w15:val="{C1E67D2E-2961-4919-920F-FD5267A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okol.com.ua/ua/pro_zahodi_protidii_nezakonnomu_obigu_narkotichnih_zasobiv_psihotropnih_rechovin_i_prekursoriv_ta_zlovgivannyu_ni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Паєнок</dc:creator>
  <cp:keywords/>
  <dc:description/>
  <cp:lastModifiedBy>Ана Паєнок</cp:lastModifiedBy>
  <cp:revision>1</cp:revision>
  <dcterms:created xsi:type="dcterms:W3CDTF">2021-03-15T06:26:00Z</dcterms:created>
  <dcterms:modified xsi:type="dcterms:W3CDTF">2021-03-15T06:26:00Z</dcterms:modified>
</cp:coreProperties>
</file>