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4"/>
        <w:gridCol w:w="2438"/>
        <w:gridCol w:w="1578"/>
        <w:gridCol w:w="1604"/>
        <w:gridCol w:w="3439"/>
      </w:tblGrid>
      <w:tr>
        <w:tblPrEx>
          <w:shd w:val="clear" w:color="auto" w:fill="ced7e7"/>
        </w:tblPrEx>
        <w:trPr>
          <w:trHeight w:val="227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№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Теми індивідуальних магістерських проектів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                кафедри  теорії та філософії права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Науковий керівник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Прізвище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та ініціали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студентів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Електронна пошта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студентів</w:t>
            </w:r>
          </w:p>
        </w:tc>
      </w:tr>
      <w:tr>
        <w:tblPrEx>
          <w:shd w:val="clear" w:color="auto" w:fill="ced7e7"/>
        </w:tblPrEx>
        <w:trPr>
          <w:trHeight w:val="270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Висновок за результатами правової експертизи проекту Закону України №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7357 "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 реєстрацію доменних імен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".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Косович 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Мурська Марта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murmarta17@gmail.com</w:t>
            </w:r>
          </w:p>
        </w:tc>
      </w:tr>
      <w:tr>
        <w:tblPrEx>
          <w:shd w:val="clear" w:color="auto" w:fill="ced7e7"/>
        </w:tblPrEx>
        <w:trPr>
          <w:trHeight w:val="3048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Висновок за результатами правової експертизи проекту Закону України №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7160 "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 організацію трудових відносин в умовах воєнного стану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".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Косович  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Брижатий Ігор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igor011299@gmail.com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3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Концепція проекту Закону України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"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 Президента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".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Косович  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Мороз Орест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orest2126@gmail.com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4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Судові рішення місцевих загальних судів у цивільних справах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техніко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технологічні вимоги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  <w:tab w:val="left" w:pos="9133"/>
              </w:tabs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Луць Л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Калішевич Станіслав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kalishevich999@gmail.com</w:t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5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Судові рішення місцевих загальних судів у кримінальних провадженнях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техніко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технологічні вимоги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Луць Л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Настасяк Христина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omletka85@gmail.com</w:t>
            </w:r>
          </w:p>
        </w:tc>
      </w:tr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6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Аргументація конституційності законодавчого регулювання права на оскарження в адміністративному судочинстві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Яремчук Анатолій 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tolia_1771@icloud.com</w:t>
            </w:r>
          </w:p>
        </w:tc>
      </w:tr>
      <w:tr>
        <w:tblPrEx>
          <w:shd w:val="clear" w:color="auto" w:fill="ced7e7"/>
        </w:tblPrEx>
        <w:trPr>
          <w:trHeight w:val="373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7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Правова аргументація конституційності тлумачення конституційного положення про наступні сесії Верховної Ради України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Назар Софія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sofinazar17@gmail.com</w:t>
            </w:r>
          </w:p>
        </w:tc>
      </w:tr>
      <w:tr>
        <w:tblPrEx>
          <w:shd w:val="clear" w:color="auto" w:fill="ced7e7"/>
        </w:tblPrEx>
        <w:trPr>
          <w:trHeight w:val="270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8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Правова аргументація конституційності Закону України «Про засади державної мовної політики»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Висоцька Катерина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katya.vysot@gmail.com</w:t>
            </w:r>
          </w:p>
        </w:tc>
      </w:tr>
      <w:tr>
        <w:tblPrEx>
          <w:shd w:val="clear" w:color="auto" w:fill="ced7e7"/>
        </w:tblPrEx>
        <w:trPr>
          <w:trHeight w:val="3048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9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Правова аргументація конституційності Закону України «Про всеукраїнський референдум»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Павлій Юрій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ura.pavley@gmail.com</w:t>
            </w:r>
          </w:p>
        </w:tc>
      </w:tr>
      <w:tr>
        <w:tblPrEx>
          <w:shd w:val="clear" w:color="auto" w:fill="ced7e7"/>
        </w:tblPrEx>
        <w:trPr>
          <w:trHeight w:val="4078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10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Правова аргументація конституційності криміналізації отримання неправомірної вигоди службовою особою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368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Кримінального кодексу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 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Соловей Марія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Arial" w:cs="Arial" w:hAnsi="Arial" w:eastAsia="Arial"/>
                <w:outline w:val="0"/>
                <w:color w:val="1155cc"/>
                <w:sz w:val="20"/>
                <w:szCs w:val="20"/>
                <w:u w:val="single" w:color="1155cc"/>
                <w14:textFill>
                  <w14:solidFill>
                    <w14:srgbClr w14:val="1155CC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1155cc"/>
                <w:sz w:val="20"/>
                <w:szCs w:val="20"/>
                <w:u w:val="single" w:color="1155cc"/>
                <w14:textFill>
                  <w14:solidFill>
                    <w14:srgbClr w14:val="1155CC"/>
                  </w14:solidFill>
                </w14:textFill>
              </w:rPr>
              <w:instrText xml:space="preserve"> HYPERLINK "mailto:maryy.solovey@gmail.com"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1155cc"/>
                <w:sz w:val="20"/>
                <w:szCs w:val="20"/>
                <w:u w:val="single" w:color="1155cc"/>
                <w14:textFill>
                  <w14:solidFill>
                    <w14:srgbClr w14:val="1155CC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1155cc"/>
                <w:sz w:val="20"/>
                <w:szCs w:val="20"/>
                <w:u w:val="single" w:color="1155cc"/>
                <w:rtl w:val="0"/>
                <w14:textFill>
                  <w14:solidFill>
                    <w14:srgbClr w14:val="1155CC"/>
                  </w14:solidFill>
                </w14:textFill>
              </w:rPr>
              <w:t>maryy.solovey@gmail.com</w:t>
            </w:r>
            <w:r>
              <w:rPr>
                <w:rFonts w:ascii="Arial" w:cs="Arial" w:hAnsi="Arial" w:eastAsia="Arial"/>
                <w:outline w:val="0"/>
                <w:color w:val="1155cc"/>
                <w:sz w:val="20"/>
                <w:szCs w:val="20"/>
                <w:u w:val="single" w:color="1155cc"/>
                <w14:textFill>
                  <w14:solidFill>
                    <w14:srgbClr w14:val="1155CC"/>
                  </w14:solidFill>
                </w14:textFill>
              </w:rPr>
              <w:fldChar w:fldCharType="end" w:fldLock="0"/>
            </w:r>
            <w:r>
              <w:rPr>
                <w:rFonts w:ascii="Arial" w:cs="Arial" w:hAnsi="Arial" w:eastAsia="Arial"/>
                <w:outline w:val="0"/>
                <w:color w:val="1155cc"/>
                <w:sz w:val="20"/>
                <w:szCs w:val="20"/>
                <w:u w:val="single" w:color="1155cc"/>
                <w:shd w:val="nil" w:color="auto" w:fill="auto"/>
                <w14:textFill>
                  <w14:solidFill>
                    <w14:srgbClr w14:val="1155C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5452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11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Правова аргументація конституційності Указу Президента України від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21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травня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2019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року  «Про дострокове припинення повноважень Верховної Ради України та призначення позачергових виборів»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Запотоцький Михайло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m.zapototskiy@gmail.com</w:t>
            </w:r>
          </w:p>
        </w:tc>
      </w:tr>
      <w:tr>
        <w:tblPrEx>
          <w:shd w:val="clear" w:color="auto" w:fill="ced7e7"/>
        </w:tblPrEx>
        <w:trPr>
          <w:trHeight w:val="476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12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Правова аргументація конституційності криміналізації постанови суддею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суддями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)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завідомо неправосудного вироку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рішення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ухвали або постанови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375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Кримінального кодексу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 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Аветісян Діана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missianaaa25@gmail.com</w:t>
            </w:r>
          </w:p>
        </w:tc>
      </w:tr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13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Правова аргументація конституційності Закону України «Про забезпечення функціонування української мови як державної»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КСУ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проф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Рабінович  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Верхола Анастасія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nastiaverkhola@gmail.com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14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Аргументи з практики ЄСПЛ у судовій практиці Касаційного адміністративного суду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Панахид Іванна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ivannapanachyd@gmail.com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15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Аргументи з практики ЄСПЛ у судовій практиці Касаційного цивільного суду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Плотніков Олександр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sashaplotnikov777@gmail.com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16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Аргументи з практики ЄСПЛ у судовій практиці Касаційного кримінального суду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Терешкевич Іван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tereshvan@gmail.com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17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Аргументи з практики ЄСПЛ у судовій практиці Касаційного господарського суду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Лещук Христина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leshchuk.khrystyna@gmail.com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18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Аргументи з практики ЄСПЛ у судовій практиці Великої палати Верховного Суду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Голик Денис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denysgolyk14@gmail.com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19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Аргументи у правотворчій аргументації законодавця в Україні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Сташків Юлія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a-DK"/>
              </w:rPr>
              <w:t>valeta.tilska99@gmail.com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20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Аргументи у актах конституційного контролю в Україні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21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Аргументи у актах офіційного тлумачення Конституції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Бульо Соломія 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solomiya.bulo@ukr.net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22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Аргументи у актах Конституційного Суду за результатами розгляду конституційних скарг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Хома Соломія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solomiahoma02@gmail.com</w:t>
            </w:r>
          </w:p>
        </w:tc>
      </w:tr>
      <w:tr>
        <w:tblPrEx>
          <w:shd w:val="clear" w:color="auto" w:fill="ced7e7"/>
        </w:tblPrEx>
        <w:trPr>
          <w:trHeight w:val="3048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23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Зважування й балансування аргументів з принципів права у практиці національних судів в Україні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  <w:p>
            <w:pPr>
              <w:pStyle w:val="Normal.0"/>
              <w:spacing w:after="0"/>
            </w:pPr>
            <w:r>
              <w:rPr>
                <w:rFonts w:ascii="Times New Roman" w:cs="Times New Roman" w:hAnsi="Times New Roman" w:eastAsia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Дудаш Т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Геревич Ліана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lianagerevich2000@gmail.com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24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Ідея соціальної справедливості в юридичних позиціях Конституційного Суду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Раданович Н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Косович Віталій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k_vitaliy_@ukr.net</w:t>
            </w:r>
          </w:p>
        </w:tc>
      </w:tr>
      <w:tr>
        <w:tblPrEx>
          <w:shd w:val="clear" w:color="auto" w:fill="ced7e7"/>
        </w:tblPrEx>
        <w:trPr>
          <w:trHeight w:val="270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25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Національна імплементація міжнародних договорів 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de-DE"/>
                <w14:textFill>
                  <w14:solidFill>
                    <w14:srgbClr w14:val="0D0D0D"/>
                  </w14:solidFill>
                </w14:textFill>
              </w:rPr>
              <w:t xml:space="preserve">(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 матеріалах практики Конституційного Суду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Раданович Н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Козловська Марія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maryivanyk777@gmail.com</w:t>
            </w:r>
          </w:p>
        </w:tc>
      </w:tr>
      <w:tr>
        <w:tblPrEx>
          <w:shd w:val="clear" w:color="auto" w:fill="ced7e7"/>
        </w:tblPrEx>
        <w:trPr>
          <w:trHeight w:val="270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26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Нормативні пропозиції щодо вдосконалення репродуктивних прав людини у законодавстві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Добрянський С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Цибрівська Анастасія 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tsybrivskanastia28@gmail.com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27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Правове регулювання репродуктивних прав людини у праві ЄС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Добрянський С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Очеретна Анастасія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nastyaocheretna07@gmail.com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28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Репродуктивні права людини у практиці Європейського суду з прав людини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Добрянський С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Вакалюк Ангеліна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vakaliuk.evangelina1999@gmail.com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29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Відмова у реалізації прав людини з мотивів внутрішнього сумління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Добрянський С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Фартушок Михайло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fartushok217@gmail.com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30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Адаптація законодавства України до права ЄС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пріоритетні напрями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Добрянський С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Луценко Анастасія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nastyalov@ukr.net</w:t>
            </w:r>
          </w:p>
        </w:tc>
      </w:tr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31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Юридичні позиції Конституційного Суду України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прикладні аспекти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Раданович Н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Настасяк Божена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bozhenanastasyak@gmail.com</w:t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32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Правозастосовне загальне тлумачення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 прикладі рішень Верховного Суду та Європейського суду з прав людини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Настасяк 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Ю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cs="Times New Roman" w:hAnsi="Times New Roman" w:eastAsia="Times New Roman"/>
                <w:outline w:val="0"/>
                <w:color w:val="0d0d0d"/>
                <w:sz w:val="24"/>
                <w:szCs w:val="24"/>
                <w:u w:val="single"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Оманчуковська Ксенія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ksyusha148@gmail.com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33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Казуальне тлумачення в Україні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 прикладі діяльності місцевих загальних судів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Настасяк 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Ю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Оксенюк Валерія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valeriya.kovel@gmail.com</w:t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34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Відомче правотлумачення в Україні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аналіз практики центральних органів влади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Настасяк 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Ю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val="none"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  <w:r>
              <w:rPr>
                <w:rFonts w:ascii="Times New Roman" w:cs="Times New Roman" w:hAnsi="Times New Roman" w:eastAsia="Times New Roman"/>
                <w:outline w:val="0"/>
                <w:color w:val="0d0d0d"/>
                <w:sz w:val="24"/>
                <w:szCs w:val="24"/>
                <w:u w:val="single"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Боцюрко Юлія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juliawinsted@gmail.com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35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Можливості удосконалення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структури судових рішень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 xml:space="preserve"> у судах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першої й апеляційної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інстанцій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36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Можливості удосконалення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структури судових рішень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 xml:space="preserve"> у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Верховному Суді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37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Вади визначення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подібності правовідносин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у практиці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Великої Палати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Верховного Суду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38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Негаційний позов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проблеми та перспективи застосування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за матеріалами практики Верховного Суду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39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Проблеми застосування віндикаційного позову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як ефективного речево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правового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способу захисту прав та інтересів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практика Великої Палати Верховного Суду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40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Негаторний позов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як ефективний речево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правовий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спосіб захисту прав та інтересів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практика Великої Палати Верховного Суду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41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Позов про визнання права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як ефективний речево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правовий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спосіб захисту прав та інтересів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практика Великої Палати Верховного Суду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42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Кондикційний позов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як ефективний зобов’язально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правовий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спосіб захисту прав та інтересів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практика Великої Палати Верховного Суду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43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Проблемні аспекти застосування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позовної давності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практика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Великої Палати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 Верховного Суду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Гудима Д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44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Розвиток прецедентної судової практики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 матеріалах практики ВСУ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Стецик Н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45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Розвиток прецедентної судової практики 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на матеріалах практики ЄСПЛ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)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Доц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Стецик Н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В</w:t>
            </w: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.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14:textFill>
                  <w14:solidFill>
                    <w14:srgbClr w14:val="0D0D0D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14:textFill>
                  <w14:solidFill>
                    <w14:srgbClr w14:val="0D0D0D"/>
                  </w14:solidFill>
                </w14:textFill>
              </w:rPr>
              <w:t>Шманько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ru-RU"/>
                <w14:textFill>
                  <w14:solidFill>
                    <w14:srgbClr w14:val="0D0D0D"/>
                  </w14:solidFill>
                </w14:textFill>
              </w:rPr>
              <w:t>Олена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0d0d0d"/>
                <w:sz w:val="24"/>
                <w:szCs w:val="24"/>
                <w:u w:color="0d0d0d"/>
                <w:shd w:val="nil" w:color="auto" w:fill="auto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olenkashmanko@gmail.com</w:t>
            </w:r>
          </w:p>
        </w:tc>
      </w:tr>
    </w:tbl>
    <w:p>
      <w:pPr>
        <w:pStyle w:val="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 xml:space="preserve">Завідувач кафедри </w:t>
      </w: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>теорії та філософії права</w:t>
        <w:tab/>
        <w:tab/>
        <w:tab/>
        <w:t xml:space="preserve">            </w:t>
        <w:tab/>
        <w:t>проф</w:t>
      </w:r>
      <w:r>
        <w:rPr>
          <w:rFonts w:ascii="Times New Roman" w:hAnsi="Times New Roman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>Косович В</w:t>
      </w:r>
      <w:r>
        <w:rPr>
          <w:rFonts w:ascii="Times New Roman" w:hAnsi="Times New Roman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>М</w:t>
      </w:r>
      <w:r>
        <w:rPr>
          <w:rFonts w:ascii="Times New Roman" w:hAnsi="Times New Roman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Посилання">
    <w:name w:val="Посилання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0">
    <w:name w:val="Hyperlink.0"/>
    <w:basedOn w:val="Посилання"/>
    <w:next w:val="Hyperlink.0"/>
    <w:rPr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