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043" w14:textId="77777777" w:rsidR="00E203FD" w:rsidRDefault="00E203FD" w:rsidP="00E203FD">
      <w:pPr>
        <w:pStyle w:val="1"/>
        <w:jc w:val="center"/>
        <w:rPr>
          <w:rFonts w:ascii="Times New Roman" w:eastAsia="Times New Roman" w:hAnsi="Times New Roman" w:cs="Times New Roman"/>
          <w:b/>
          <w:bCs/>
          <w:sz w:val="28"/>
          <w:szCs w:val="28"/>
        </w:rPr>
      </w:pPr>
      <w:r>
        <w:rPr>
          <w:rFonts w:ascii="Times New Roman" w:hAnsi="Times New Roman"/>
          <w:b/>
          <w:bCs/>
          <w:sz w:val="28"/>
          <w:szCs w:val="28"/>
        </w:rPr>
        <w:t>Протокол № 4</w:t>
      </w:r>
    </w:p>
    <w:p w14:paraId="6666AD3D" w14:textId="77777777" w:rsidR="00E203FD" w:rsidRDefault="00E203FD" w:rsidP="00E203FD">
      <w:pPr>
        <w:pStyle w:val="1"/>
        <w:jc w:val="center"/>
        <w:rPr>
          <w:rFonts w:ascii="Times New Roman" w:hAnsi="Times New Roman"/>
          <w:b/>
          <w:bCs/>
          <w:sz w:val="28"/>
          <w:szCs w:val="28"/>
        </w:rPr>
      </w:pPr>
      <w:r>
        <w:rPr>
          <w:rFonts w:ascii="Times New Roman" w:hAnsi="Times New Roman"/>
          <w:b/>
          <w:bCs/>
          <w:sz w:val="28"/>
          <w:szCs w:val="28"/>
        </w:rPr>
        <w:t>методологічного семінару кафедри історії держави,</w:t>
      </w:r>
    </w:p>
    <w:p w14:paraId="0C10E397" w14:textId="77777777" w:rsidR="00E203FD" w:rsidRDefault="00E203FD" w:rsidP="00E203FD">
      <w:pPr>
        <w:pStyle w:val="1"/>
        <w:jc w:val="center"/>
        <w:rPr>
          <w:rFonts w:ascii="Times New Roman" w:eastAsia="Times New Roman" w:hAnsi="Times New Roman" w:cs="Times New Roman"/>
          <w:b/>
          <w:bCs/>
          <w:sz w:val="28"/>
          <w:szCs w:val="28"/>
        </w:rPr>
      </w:pPr>
      <w:r>
        <w:rPr>
          <w:rFonts w:ascii="Times New Roman" w:hAnsi="Times New Roman"/>
          <w:b/>
          <w:bCs/>
          <w:sz w:val="28"/>
          <w:szCs w:val="28"/>
        </w:rPr>
        <w:t xml:space="preserve"> права та політико-правових учень</w:t>
      </w:r>
      <w:r>
        <w:rPr>
          <w:rFonts w:ascii="Times New Roman" w:eastAsia="Times New Roman" w:hAnsi="Times New Roman" w:cs="Times New Roman"/>
          <w:b/>
          <w:bCs/>
          <w:sz w:val="28"/>
          <w:szCs w:val="28"/>
        </w:rPr>
        <w:t xml:space="preserve"> </w:t>
      </w:r>
      <w:r>
        <w:rPr>
          <w:rFonts w:ascii="Times New Roman" w:hAnsi="Times New Roman"/>
          <w:b/>
          <w:bCs/>
          <w:sz w:val="28"/>
          <w:szCs w:val="28"/>
        </w:rPr>
        <w:t>від 02 грудня 2022 р.</w:t>
      </w:r>
    </w:p>
    <w:p w14:paraId="7EF7D6F1" w14:textId="77777777" w:rsidR="00E203FD" w:rsidRDefault="00E203FD" w:rsidP="00E203FD">
      <w:pPr>
        <w:pStyle w:val="1"/>
        <w:jc w:val="center"/>
        <w:rPr>
          <w:rFonts w:ascii="Times New Roman" w:eastAsia="Times New Roman" w:hAnsi="Times New Roman" w:cs="Times New Roman"/>
          <w:b/>
          <w:bCs/>
          <w:sz w:val="28"/>
          <w:szCs w:val="28"/>
        </w:rPr>
      </w:pPr>
    </w:p>
    <w:p w14:paraId="04FDD982" w14:textId="77777777" w:rsidR="00E203FD" w:rsidRDefault="00E203FD" w:rsidP="00E203FD">
      <w:pPr>
        <w:pStyle w:val="1"/>
        <w:jc w:val="both"/>
        <w:rPr>
          <w:rFonts w:ascii="Times New Roman" w:eastAsia="Times New Roman" w:hAnsi="Times New Roman" w:cs="Times New Roman"/>
          <w:sz w:val="28"/>
          <w:szCs w:val="28"/>
        </w:rPr>
      </w:pPr>
      <w:r>
        <w:rPr>
          <w:rFonts w:ascii="Times New Roman" w:hAnsi="Times New Roman"/>
          <w:b/>
          <w:bCs/>
          <w:sz w:val="28"/>
          <w:szCs w:val="28"/>
        </w:rPr>
        <w:t>Присутні:</w:t>
      </w:r>
      <w:r>
        <w:rPr>
          <w:rFonts w:ascii="Times New Roman" w:hAnsi="Times New Roman"/>
          <w:sz w:val="28"/>
          <w:szCs w:val="28"/>
        </w:rPr>
        <w:t xml:space="preserve"> </w:t>
      </w:r>
      <w:r>
        <w:rPr>
          <w:rFonts w:ascii="Times New Roman" w:hAnsi="Times New Roman"/>
          <w:color w:val="222222"/>
          <w:sz w:val="28"/>
          <w:szCs w:val="28"/>
        </w:rPr>
        <w:t>проф. Бойко І. Й., проф. Тищик Б. Й., доц. Шевчук Л. Е., доц. Липитчук О. В., доц. Федущак-Паславська А. М., доц. Моряк-Протопопова Х. М. асист. Гутів Б. І., доц. Бедрій М.М., доц. Ригіна О.М., асист. Олійник Ю. В., асист. Лубчук О.Д.</w:t>
      </w:r>
    </w:p>
    <w:p w14:paraId="198E10BE" w14:textId="77777777" w:rsidR="00E203FD" w:rsidRDefault="00E203FD" w:rsidP="00E203FD">
      <w:pPr>
        <w:pStyle w:val="1"/>
        <w:jc w:val="both"/>
        <w:rPr>
          <w:rFonts w:ascii="Times New Roman" w:eastAsia="Times New Roman" w:hAnsi="Times New Roman" w:cs="Times New Roman"/>
          <w:sz w:val="28"/>
          <w:szCs w:val="28"/>
        </w:rPr>
      </w:pPr>
    </w:p>
    <w:p w14:paraId="7A250B8E" w14:textId="77777777" w:rsidR="00E203FD" w:rsidRDefault="00E203FD" w:rsidP="00E203FD">
      <w:pPr>
        <w:pStyle w:val="1"/>
        <w:jc w:val="center"/>
        <w:rPr>
          <w:rFonts w:ascii="Times New Roman" w:eastAsia="Times New Roman" w:hAnsi="Times New Roman" w:cs="Times New Roman"/>
          <w:b/>
          <w:bCs/>
          <w:sz w:val="28"/>
          <w:szCs w:val="28"/>
        </w:rPr>
      </w:pPr>
      <w:r>
        <w:rPr>
          <w:rFonts w:ascii="Times New Roman" w:hAnsi="Times New Roman"/>
          <w:b/>
          <w:bCs/>
          <w:sz w:val="28"/>
          <w:szCs w:val="28"/>
        </w:rPr>
        <w:t>Порядок денний:</w:t>
      </w:r>
    </w:p>
    <w:p w14:paraId="7A39522D" w14:textId="77777777" w:rsidR="00E203FD" w:rsidRDefault="00E203FD" w:rsidP="00E203FD">
      <w:pPr>
        <w:tabs>
          <w:tab w:val="left" w:pos="2268"/>
        </w:tabs>
        <w:jc w:val="both"/>
        <w:rPr>
          <w:b/>
          <w:sz w:val="28"/>
          <w:szCs w:val="28"/>
          <w:lang w:val="uk-UA"/>
        </w:rPr>
      </w:pPr>
      <w:r>
        <w:rPr>
          <w:b/>
          <w:bCs/>
          <w:sz w:val="28"/>
          <w:szCs w:val="28"/>
          <w:lang w:val="uk-UA"/>
        </w:rPr>
        <w:t>Виступ канд. юрид. наук, доцент Шевчук Л.Е. на тему: « Аксіологічні аспекти правосвідомості українського народу в Українській козацькій державі».</w:t>
      </w:r>
    </w:p>
    <w:p w14:paraId="0412717A" w14:textId="77777777" w:rsidR="00E203FD" w:rsidRDefault="00E203FD" w:rsidP="00E203FD">
      <w:pPr>
        <w:tabs>
          <w:tab w:val="left" w:pos="2268"/>
        </w:tabs>
        <w:ind w:firstLine="851"/>
        <w:jc w:val="both"/>
        <w:rPr>
          <w:b/>
          <w:sz w:val="28"/>
          <w:szCs w:val="28"/>
          <w:lang w:val="uk-UA"/>
        </w:rPr>
      </w:pPr>
    </w:p>
    <w:p w14:paraId="529802CD" w14:textId="049269CC" w:rsidR="00E203FD" w:rsidRDefault="00E203FD" w:rsidP="00E203FD">
      <w:pPr>
        <w:tabs>
          <w:tab w:val="left" w:pos="2268"/>
        </w:tabs>
        <w:jc w:val="both"/>
        <w:rPr>
          <w:bCs/>
          <w:sz w:val="28"/>
          <w:szCs w:val="28"/>
          <w:lang w:val="uk-UA"/>
        </w:rPr>
      </w:pPr>
      <w:r>
        <w:rPr>
          <w:b/>
          <w:sz w:val="28"/>
          <w:szCs w:val="28"/>
          <w:lang w:val="uk-UA"/>
        </w:rPr>
        <w:t>СЛУХАЛИ:</w:t>
      </w:r>
      <w:r>
        <w:rPr>
          <w:bCs/>
          <w:sz w:val="28"/>
          <w:szCs w:val="28"/>
          <w:lang w:val="uk-UA"/>
        </w:rPr>
        <w:t xml:space="preserve"> канд. юрид. наук, доцент Шевчук Л.Е. на тему: «Аксіологічні аспекти правосвідомості українського народу в Українській козацькій державі». Цивілізаційний, наповнений відповідним змістом, євроінтеграційний напрям розвитку України як демократичної, соціальної, правової держави, формування і утвердження справжнього громадянського суспільства, потребують високого рівня правової свідомості та правової культури українського народу. Видається, що сьогодні проблематично вести мову про пошук дієвих  чинників зростання рівня і якості правосвідомості українського народу без аналізу особливостей її формування в історико-правовому форматі. Власне погляд на правосвідомість під таким кутом зору сприяє розумінню того, як і наскільки адекватно суспільство сприймає право яким користується, усвідомлює його роль, функції і значення, ставиться до нього, визнає чи не визнає, готове відстоювати його ідеали та цінності, а  також втілювати їх у  життя. Саме такий підхід дозволяє виявити існуючі хиби та прогалини суспільної правосвідомості, встановити їх причини, а відтак якісно та позитивно впливати на характер, політику та вектори її розвитку в найближчому майбутньому та в довгостроковій перспективі.</w:t>
      </w:r>
    </w:p>
    <w:p w14:paraId="2CB05621" w14:textId="77777777" w:rsidR="00E203FD" w:rsidRDefault="00E203FD" w:rsidP="00E203FD">
      <w:pPr>
        <w:tabs>
          <w:tab w:val="left" w:pos="2268"/>
        </w:tabs>
        <w:jc w:val="both"/>
        <w:rPr>
          <w:bCs/>
          <w:sz w:val="28"/>
          <w:szCs w:val="28"/>
          <w:lang w:val="uk-UA"/>
        </w:rPr>
      </w:pPr>
      <w:r>
        <w:rPr>
          <w:bCs/>
          <w:sz w:val="28"/>
          <w:szCs w:val="28"/>
          <w:lang w:val="uk-UA"/>
        </w:rPr>
        <w:t>Одним із знакових  етапів українського державотворення став понад сторічний період існування української козацької держави Гетьманщини, в надрах якої поступово визрівали, формувались, утверджувалися і вкорінювалися у суспільну правосвідомість ідеї української  державності та власного права. Правосвідомість українського народу періоду Гетьманщини необхідно розглядати як ядро та водночас важливу невід’ємну складову багатовікового процесу українського право- та державотворення. На її характер та якість впливали ментальність народу, його звичаї, традиції, ціннісні орієнтири, загальний рівень освіченості, розуміння власної гідності, цінності свободи тощо. Також у цьому історичному контенті правосвідомості українського народу виразно проявляються причини спотворень і деформацій цього надзвичайно важливого в контексті державотворення суспільно-правового явища.</w:t>
      </w:r>
    </w:p>
    <w:p w14:paraId="03E4F9CC" w14:textId="77777777" w:rsidR="00E203FD" w:rsidRDefault="00E203FD" w:rsidP="00E203FD">
      <w:pPr>
        <w:tabs>
          <w:tab w:val="left" w:pos="2268"/>
        </w:tabs>
        <w:jc w:val="both"/>
        <w:rPr>
          <w:bCs/>
          <w:sz w:val="28"/>
          <w:szCs w:val="28"/>
          <w:lang w:val="uk-UA"/>
        </w:rPr>
      </w:pPr>
      <w:r>
        <w:rPr>
          <w:bCs/>
          <w:sz w:val="28"/>
          <w:szCs w:val="28"/>
          <w:lang w:val="uk-UA"/>
        </w:rPr>
        <w:t xml:space="preserve">Правосвідомість це система відчуттів, звичок, уявлень, оцінок, поглядів, теорій, ідей її носіїв (людей, груп, станів, народу), які відображають правову дійсність і оціночне ставлення до неї (до правових настанов, держави і її інституцій, </w:t>
      </w:r>
      <w:r>
        <w:rPr>
          <w:bCs/>
          <w:sz w:val="28"/>
          <w:szCs w:val="28"/>
          <w:lang w:val="uk-UA"/>
        </w:rPr>
        <w:lastRenderedPageBreak/>
        <w:t>ціннісних орієнтацій суспільства, до минулого, сучасного та очікуваного права). Правосвідомість є складним системним утворенням, окремі складові частини якого не можуть існувати одна без одної. Так, виокремлюють елементи (правова ідеологія, правова психологія та поведінкова складова), види (буденна, професійна, наукова; індивідуальна, групова, суспільна), форми (інституційну, яка репрезентована у вигляді документів, існуючого права, юридичного закону, тобто має формалізований позитивноправовий характер та неінституційну, яка має недокументальний, неофіційний вигляд і представлена почуттєво-вольовими уявленнями про право, які фіксуються у теоретичних працях, літературі, народній творчості). Важливо особливо наголосити на тому, що правосвідомість у всіх її виявах, формах, елементах  поєднує в собі як аксіологічний (домінантні правові цінності), так і онтологічний (способи та форми буття правосвідомості у конкретно історичних умовах) виміри. Саме правові цінності західної традиції права, до яких історично змістовно тяжіє українське право – були, є і повинні бути з однієї сторони основоположними чинниками формування високого рівня правової свідомості українського народу, а з іншого – його мірилом.</w:t>
      </w:r>
    </w:p>
    <w:p w14:paraId="024FB75E" w14:textId="77777777" w:rsidR="00E203FD" w:rsidRDefault="00E203FD" w:rsidP="00E203FD">
      <w:pPr>
        <w:tabs>
          <w:tab w:val="left" w:pos="2268"/>
        </w:tabs>
        <w:jc w:val="both"/>
        <w:rPr>
          <w:bCs/>
          <w:sz w:val="28"/>
          <w:szCs w:val="28"/>
          <w:lang w:val="uk-UA"/>
        </w:rPr>
      </w:pPr>
      <w:r>
        <w:rPr>
          <w:bCs/>
          <w:sz w:val="28"/>
          <w:szCs w:val="28"/>
          <w:lang w:val="uk-UA"/>
        </w:rPr>
        <w:t>Домінантні правові цінності суспільства формуються історично. Поступово вкорінюючись у правосвідомість, вони розвиваються, наповнюючись новими сенсами під впливом позитивної практики, новітніх політико-правових ідей та передового досвіду розвинутих країн (у випадку Гетьманщини – Речі Посполитої, Нідерландів, Англії, Франції). Водночас, під тиском тривалого,  а часами стрімкого, але імперативного, силового впливу відсталих правових систем окремих держав (Московія, Російська імперія, а в подальшому – радянська система) можуть зазнавати суттєвих деформацій. Але важливим є розуміння того, що міцний історичний фундамент (тобто правові цінності закорінені в правосвідомості історично, але на окремих етапах зазнали деформації) дозволяє відновлювати пошкоджені елементи правосвідомості, виправляти деформації, генерувати новітні погляди та ідеї, спрямовуючи розвиток правосвідомості українського народу в тому ціннісному напрямку, який генетично корениться в його ментальності, а відтак і в правовій культурі та правосвідомості. Досліджуючи аксіологічний вимір правосвідомості українського народу періоду Гетьманщини виходимо з того, що провідною, визначальною її складовою  були ті правові цінності, які формувалися у попередні періоди, передусім у свідомості освічених суспільних прошарків, а вже у наступні десятиліття, що передували революційному зламу і під час самих подій української революції, отримували загальносуспільне визнання, утверджуючись і в правовому світогляді практично усіх верств тогочасного українського суспільства. Серед правових цінностей відображених у правосвідомості українського народу періоду національно-визвольних змагань ХVІІ – початку ХVІІІ  ст., основоположними були свобода, рівність, людська гідність, справедливість, демократизм, а відтак несприйняття деспотизму влади, вирішення конфліктів правовими, а не самоуправними способами, розуміння того, що суперечності повинні розв’язуватися публічно, відкрито, під час судового процесу, а не шляхом таємних переговорів, домовленостей, інтриг.</w:t>
      </w:r>
    </w:p>
    <w:p w14:paraId="473A43BA" w14:textId="77777777" w:rsidR="00E203FD" w:rsidRDefault="00E203FD" w:rsidP="00E203FD">
      <w:pPr>
        <w:tabs>
          <w:tab w:val="left" w:pos="2268"/>
        </w:tabs>
        <w:jc w:val="both"/>
        <w:rPr>
          <w:bCs/>
          <w:sz w:val="28"/>
          <w:szCs w:val="28"/>
          <w:lang w:val="uk-UA"/>
        </w:rPr>
      </w:pPr>
      <w:r>
        <w:rPr>
          <w:bCs/>
          <w:sz w:val="28"/>
          <w:szCs w:val="28"/>
          <w:lang w:val="uk-UA"/>
        </w:rPr>
        <w:t xml:space="preserve">Титульною цінністю правосвідомості українського народу окресленого періоду безумовно виступає ідея свободи. Касіян Сакович у 1622 р. писав – «Вольність </w:t>
      </w:r>
      <w:r>
        <w:rPr>
          <w:bCs/>
          <w:sz w:val="28"/>
          <w:szCs w:val="28"/>
          <w:lang w:val="uk-UA"/>
        </w:rPr>
        <w:lastRenderedPageBreak/>
        <w:t>– ось найважніша річ поміж усіми… Тож освідчити можуть цю думку народи, бо вони до свободи ідуть од природи… Запорозькеє військо ту вольність здобуло…». Причому в свідомості української еліти, а відтак поступово і всього суспільства утверджується розуміння свободи як найбільшого надбання людини, найвищого добра, природнього стану. Водночас з’являється переконання, що справжню свободу породжує такий лад, коли всі підкоряються праву, а отже запорукою свободи є дотримання законів, а їхня відсутність, або ж виконання на власний розсуд, фактично означає і відсутність свободи.</w:t>
      </w:r>
    </w:p>
    <w:p w14:paraId="2145015A" w14:textId="77777777" w:rsidR="00E203FD" w:rsidRDefault="00E203FD" w:rsidP="00E203FD">
      <w:pPr>
        <w:tabs>
          <w:tab w:val="left" w:pos="2268"/>
        </w:tabs>
        <w:jc w:val="both"/>
        <w:rPr>
          <w:bCs/>
          <w:sz w:val="28"/>
          <w:szCs w:val="28"/>
          <w:lang w:val="uk-UA"/>
        </w:rPr>
      </w:pPr>
      <w:r>
        <w:rPr>
          <w:bCs/>
          <w:sz w:val="28"/>
          <w:szCs w:val="28"/>
          <w:lang w:val="uk-UA"/>
        </w:rPr>
        <w:t>В контексті свободи як засадничої правової цінності можемо розглядати й ідею боротьби за незалежність. І якщо в першій половині XVІІ ст. питання про створення незалежної, самостійної держави ще не стало елементом національної правосвідомості і не отримало якості національної ідеї, то вже у перші місяці революції, внаслідок складних процесів переосмислення цілей боротьби, подолання існуючих політичних стереотипів, розвитку правосвідомості, відбувається докорінний злам  - ідея козацького автономізму поступається спрямуванню на створення незалежної держави в етнічних межах України «по Львів, Холм і Галич». В подальшому, обґрунтовуючи законність status quo, здобутої в ході революції державності, а також подальшої боротьби за її утвердження, представники політичної еліти, наукових кіл, освіченого громадянства  неодноразово апелювали до цінностей природнього права, зокрема права народу на опір владі. «…Козаки мають за собою право людське й природнє, одним з головних принципів котрого є: народ завжди має право протестувати проти гніту і повернути уживання своїх стародавніх прав, коли матиме на це слушний час» (Пилип Орлик «Вивід прав України»).</w:t>
      </w:r>
    </w:p>
    <w:p w14:paraId="6F51AED0" w14:textId="77777777" w:rsidR="00E203FD" w:rsidRDefault="00E203FD" w:rsidP="00E203FD">
      <w:pPr>
        <w:tabs>
          <w:tab w:val="left" w:pos="2268"/>
        </w:tabs>
        <w:jc w:val="both"/>
        <w:rPr>
          <w:bCs/>
          <w:sz w:val="28"/>
          <w:szCs w:val="28"/>
          <w:lang w:val="uk-UA"/>
        </w:rPr>
      </w:pPr>
      <w:r>
        <w:rPr>
          <w:bCs/>
          <w:sz w:val="28"/>
          <w:szCs w:val="28"/>
          <w:lang w:val="uk-UA"/>
        </w:rPr>
        <w:t xml:space="preserve">Вагомого значення серед цінностей правосвідомості українського народу набула така морально-правова категорія, як справедливість. Розглядали її з точки зору відповідності життя окремих людей і суспільства в цілому природному праву і моральному закону. Утверджується розуміння того, що досягається справедливість через ідею рівності, зокрема перед законом і судом. </w:t>
      </w:r>
    </w:p>
    <w:p w14:paraId="2BAC4897" w14:textId="77777777" w:rsidR="00E203FD" w:rsidRDefault="00E203FD" w:rsidP="00E203FD">
      <w:pPr>
        <w:tabs>
          <w:tab w:val="left" w:pos="2268"/>
        </w:tabs>
        <w:jc w:val="both"/>
        <w:rPr>
          <w:bCs/>
          <w:sz w:val="28"/>
          <w:szCs w:val="28"/>
          <w:lang w:val="uk-UA"/>
        </w:rPr>
      </w:pPr>
      <w:r>
        <w:rPr>
          <w:bCs/>
          <w:sz w:val="28"/>
          <w:szCs w:val="28"/>
          <w:lang w:val="uk-UA"/>
        </w:rPr>
        <w:t>Однією із основних підвалин аксіологічного виміру правосвідомості українського народу періоду Гетьманщини була цінність демократизму, а відтак несприйняття авторитаризму та деспотизму влади. Особливо яскраво це проілюстровано вже на інституційному рівні у Конституції 1710 р: «А оскільки дехто з колишніх гетьманів, наслідуючи деспотичне московське правління, зухвало намагався привласнити собі, всупереч праву й рівності, необмежену владу, не соромлячись нехтувати давніми законами і вольностями…узурпували владу, порушуючи всіляке природнє право й рівність. Через таке деспотичне право (завдяки) некомпетентності гетьманського правління на батьківщині і в Війську Запорозькому виникли численні безпорядки, порушення законів і вольностей, громадські утиски…».</w:t>
      </w:r>
    </w:p>
    <w:p w14:paraId="0B699968" w14:textId="77777777" w:rsidR="00E203FD" w:rsidRDefault="00E203FD" w:rsidP="00E203FD">
      <w:pPr>
        <w:tabs>
          <w:tab w:val="left" w:pos="2268"/>
        </w:tabs>
        <w:jc w:val="both"/>
        <w:rPr>
          <w:bCs/>
          <w:sz w:val="28"/>
          <w:szCs w:val="28"/>
          <w:lang w:val="uk-UA"/>
        </w:rPr>
      </w:pPr>
      <w:r>
        <w:rPr>
          <w:bCs/>
          <w:sz w:val="28"/>
          <w:szCs w:val="28"/>
          <w:lang w:val="uk-UA"/>
        </w:rPr>
        <w:t xml:space="preserve">Варто відзначити, що у ментальності українського народу утверджується, розвивається, переходячи на вищий рівень усвідомлення, сформована ще на попередніх історичних етапах цінність провідної ролі права й суду як регуляторів суспільних відносин. Судовий процес вважали засобом вирішення конфліктів не лише в межах того чи іншого стану, а й у взаєминах старшини з козаками, у стосунках з російськими урядовцями, в політичній боротьбі. Утвердилася і міцно закріпилася у правовій свідомості ідея про винесення </w:t>
      </w:r>
      <w:r>
        <w:rPr>
          <w:bCs/>
          <w:sz w:val="28"/>
          <w:szCs w:val="28"/>
          <w:lang w:val="uk-UA"/>
        </w:rPr>
        <w:lastRenderedPageBreak/>
        <w:t xml:space="preserve">судом рішення виключно на основі доведеного і належно обґрунтованого звинувачення, а також про неупередженість та об’єктивність судочинства (в правових нормах не раз підкреслювалося, що справи мають розглядатися «совісно і по істині, як право і сама слушність показує, без жодної пристрасті і неправості і без накладів, не сприяючи нікому і не зазіхаючи ні на кого»). Метою судового розгляду визнавалося не стільки призначення справедливого покарання, але й створення і надання належних можливостей для звинуваченого виправдатися. </w:t>
      </w:r>
    </w:p>
    <w:p w14:paraId="6D2EE85F" w14:textId="77777777" w:rsidR="00E203FD" w:rsidRDefault="00E203FD" w:rsidP="00E203FD">
      <w:pPr>
        <w:tabs>
          <w:tab w:val="left" w:pos="2268"/>
        </w:tabs>
        <w:jc w:val="both"/>
        <w:rPr>
          <w:bCs/>
          <w:sz w:val="28"/>
          <w:szCs w:val="28"/>
          <w:lang w:val="uk-UA"/>
        </w:rPr>
      </w:pPr>
      <w:r>
        <w:rPr>
          <w:bCs/>
          <w:sz w:val="28"/>
          <w:szCs w:val="28"/>
          <w:lang w:val="uk-UA"/>
        </w:rPr>
        <w:t>Резюмуючи стверджуємо, що аксіологічні параметри правосвідомості українського народу часів Гетьманщини, як на ту епоху, були доволі прогресивними і відображали європейський стиль мислення. Вважаємо, що саме правова свідомість періоду Гетьманщини, через поступове укорінення європейських правових цінностей, які не були чужими для українського соціуму і знайшли тут підготовлений «родючий ґрунт», дозволила зберегти, навіть в умовах подальших суттєвих деформацій (передусім в рамках Російської імперської, а потім і радянської правової дійсності) ці правові ціннісні орієнтири. Відтак, одне із головних наших завдань на сучасному етапі полягає у тому, щоб ефективно і раціонально використати історично накопичений ресурс цінностей, особливо акцентуючи увагу, і передусім історико-правничою наукою, на тому очевидному і незаперечному факті, що ті правові цінності, які сьогодні є базовими у визначеному на конституційному рівні  євроінтеграційному курсі України, не є для нас новими, незнайомими, а стали корінною, органічною складовою правосвідомості українського народу ще на попередніх історичних етапах українського державо- та правотворення.</w:t>
      </w:r>
    </w:p>
    <w:p w14:paraId="3B956A31" w14:textId="77777777" w:rsidR="00E203FD" w:rsidRPr="004501CB"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Unicode MS"/>
          <w:color w:val="222222"/>
          <w:sz w:val="28"/>
          <w:szCs w:val="28"/>
          <w:lang w:val="ru-RU"/>
        </w:rPr>
      </w:pPr>
      <w:r>
        <w:rPr>
          <w:b/>
          <w:bCs/>
          <w:color w:val="222222"/>
          <w:sz w:val="28"/>
          <w:szCs w:val="28"/>
          <w:lang w:val="ru-RU"/>
        </w:rPr>
        <w:t xml:space="preserve">СЛУХАЛИ: </w:t>
      </w:r>
      <w:r>
        <w:rPr>
          <w:color w:val="222222"/>
          <w:sz w:val="28"/>
          <w:szCs w:val="28"/>
          <w:lang w:val="ru-RU"/>
        </w:rPr>
        <w:t xml:space="preserve">проф. Бойко І.Й. доц. Моряк-Протопопова Х.М. позитивно схвалили виступ Шевчук Л.Е. та констатували, що </w:t>
      </w:r>
      <w:r w:rsidRPr="004501CB">
        <w:rPr>
          <w:rFonts w:cs="Arial Unicode MS"/>
          <w:color w:val="222222"/>
          <w:sz w:val="28"/>
          <w:szCs w:val="28"/>
          <w:lang w:val="ru-RU"/>
        </w:rPr>
        <w:t xml:space="preserve">автором на належному науковому і методологічному рівні розкрито особливості даної теми. Доповідь завершують логічні і продумані висновки, котрі підкреслюють актуальність теми і належний науковий рівень даного історико-правового дослідження. Дана тема висвітлена з використанням юридичної та історичної термінології, відповідних правових понять, є збалансованою щодо розкриття історичного й правового матеріалу, містить фаховий ґрунтовний аналіз чинних у досліджуваний період нормативно-правових актів, загалом історико-правової дійсності, заповнює прогалини в науці історії держави і права України.        </w:t>
      </w:r>
    </w:p>
    <w:p w14:paraId="6E17A002" w14:textId="77777777" w:rsidR="00E203FD"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lang w:val="ru-RU"/>
        </w:rPr>
      </w:pPr>
    </w:p>
    <w:p w14:paraId="1B624E23" w14:textId="77777777" w:rsidR="00E203FD"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lang w:val="ru-RU"/>
        </w:rPr>
      </w:pPr>
    </w:p>
    <w:p w14:paraId="255C4D4A" w14:textId="77777777" w:rsidR="00E203FD"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lang w:val="ru-RU"/>
        </w:rPr>
      </w:pPr>
    </w:p>
    <w:p w14:paraId="610DC8AD" w14:textId="77777777" w:rsidR="00E203FD"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lang w:val="ru-RU"/>
        </w:rPr>
      </w:pPr>
    </w:p>
    <w:p w14:paraId="68D888E9" w14:textId="77777777" w:rsidR="00E203FD" w:rsidRPr="004501CB"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rFonts w:eastAsia="Times New Roman"/>
          <w:color w:val="222222"/>
          <w:sz w:val="28"/>
          <w:szCs w:val="28"/>
          <w:lang w:val="ru-RU"/>
        </w:rPr>
      </w:pPr>
      <w:r w:rsidRPr="004501CB">
        <w:rPr>
          <w:rFonts w:cs="Arial Unicode MS"/>
          <w:color w:val="222222"/>
          <w:sz w:val="28"/>
          <w:szCs w:val="28"/>
          <w:lang w:val="ru-RU"/>
        </w:rPr>
        <w:t>Завідувач кафедри історії держави,</w:t>
      </w:r>
    </w:p>
    <w:p w14:paraId="56093A58" w14:textId="77777777" w:rsidR="00E203FD" w:rsidRPr="004501CB" w:rsidRDefault="00E203FD" w:rsidP="00E203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 w:hanging="12"/>
        <w:jc w:val="both"/>
        <w:rPr>
          <w:rFonts w:eastAsia="Times New Roman"/>
          <w:color w:val="222222"/>
          <w:sz w:val="28"/>
          <w:szCs w:val="28"/>
          <w:lang w:val="ru-RU"/>
        </w:rPr>
      </w:pPr>
      <w:r w:rsidRPr="004501CB">
        <w:rPr>
          <w:rFonts w:cs="Arial Unicode MS"/>
          <w:color w:val="222222"/>
          <w:sz w:val="28"/>
          <w:szCs w:val="28"/>
          <w:lang w:val="ru-RU"/>
        </w:rPr>
        <w:t>права та політико-правових учень</w:t>
      </w:r>
      <w:r w:rsidRPr="004501CB">
        <w:rPr>
          <w:rFonts w:cs="Arial Unicode MS"/>
          <w:color w:val="222222"/>
          <w:sz w:val="28"/>
          <w:szCs w:val="28"/>
          <w:lang w:val="ru-RU"/>
        </w:rPr>
        <w:tab/>
      </w:r>
      <w:r w:rsidRPr="004501CB">
        <w:rPr>
          <w:rFonts w:cs="Arial Unicode MS"/>
          <w:color w:val="222222"/>
          <w:sz w:val="28"/>
          <w:szCs w:val="28"/>
          <w:lang w:val="ru-RU"/>
        </w:rPr>
        <w:tab/>
      </w:r>
      <w:r w:rsidRPr="004501CB">
        <w:rPr>
          <w:rFonts w:cs="Arial Unicode MS"/>
          <w:color w:val="222222"/>
          <w:sz w:val="28"/>
          <w:szCs w:val="28"/>
          <w:lang w:val="ru-RU"/>
        </w:rPr>
        <w:tab/>
      </w:r>
      <w:r w:rsidRPr="004501CB">
        <w:rPr>
          <w:rFonts w:cs="Arial Unicode MS"/>
          <w:color w:val="222222"/>
          <w:sz w:val="28"/>
          <w:szCs w:val="28"/>
          <w:lang w:val="ru-RU"/>
        </w:rPr>
        <w:tab/>
        <w:t>_________проф. Бойко І. Й</w:t>
      </w:r>
    </w:p>
    <w:p w14:paraId="4C3A87DB" w14:textId="77777777" w:rsidR="00DD0678" w:rsidRDefault="00DD0678"/>
    <w:sectPr w:rsidR="00DD06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203FD"/>
    <w:rsid w:val="004501CB"/>
    <w:rsid w:val="00B902CE"/>
    <w:rsid w:val="00C05177"/>
    <w:rsid w:val="00CA487A"/>
    <w:rsid w:val="00D10373"/>
    <w:rsid w:val="00DD0678"/>
    <w:rsid w:val="00E20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1FD8"/>
  <w15:docId w15:val="{D28A70F7-755B-472B-97D1-675A0A4C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3FD"/>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ий текст1"/>
    <w:rsid w:val="00E203FD"/>
    <w:pPr>
      <w:spacing w:after="0" w:line="240" w:lineRule="auto"/>
    </w:pPr>
    <w:rPr>
      <w:rFonts w:ascii="Helvetica Neue" w:eastAsia="Arial Unicode MS" w:hAnsi="Helvetica Neue" w:cs="Arial Unicode M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4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7703</Words>
  <Characters>4391</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Протопопов</dc:creator>
  <cp:keywords/>
  <dc:description/>
  <cp:lastModifiedBy>Руслан Протопопов</cp:lastModifiedBy>
  <cp:revision>2</cp:revision>
  <dcterms:created xsi:type="dcterms:W3CDTF">2022-12-08T17:09:00Z</dcterms:created>
  <dcterms:modified xsi:type="dcterms:W3CDTF">2022-12-08T19:57:00Z</dcterms:modified>
</cp:coreProperties>
</file>