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760" w:rsidRPr="00140D5B" w:rsidRDefault="00097760" w:rsidP="00097760">
      <w:pPr>
        <w:pStyle w:val="Standard"/>
        <w:ind w:left="1440" w:hanging="1440"/>
        <w:rPr>
          <w:bCs/>
          <w:i/>
          <w:color w:val="7030A0"/>
          <w:sz w:val="28"/>
          <w:szCs w:val="28"/>
          <w:lang w:val="uk-UA"/>
        </w:rPr>
      </w:pPr>
      <w:r w:rsidRPr="00140D5B">
        <w:rPr>
          <w:b/>
          <w:color w:val="7030A0"/>
          <w:sz w:val="28"/>
          <w:szCs w:val="28"/>
          <w:lang w:val="uk-UA"/>
        </w:rPr>
        <w:t>Тема 6</w:t>
      </w:r>
      <w:r w:rsidRPr="00140D5B">
        <w:rPr>
          <w:color w:val="7030A0"/>
          <w:sz w:val="28"/>
          <w:szCs w:val="28"/>
          <w:lang w:val="uk-UA"/>
        </w:rPr>
        <w:t xml:space="preserve">. </w:t>
      </w:r>
      <w:r w:rsidRPr="00140D5B">
        <w:rPr>
          <w:color w:val="7030A0"/>
          <w:sz w:val="28"/>
          <w:szCs w:val="28"/>
          <w:lang w:val="ru-RU"/>
        </w:rPr>
        <w:t xml:space="preserve"> </w:t>
      </w:r>
      <w:proofErr w:type="spellStart"/>
      <w:r w:rsidRPr="00140D5B">
        <w:rPr>
          <w:i/>
          <w:color w:val="7030A0"/>
          <w:sz w:val="28"/>
          <w:szCs w:val="28"/>
          <w:lang w:val="ru-RU"/>
        </w:rPr>
        <w:t>Правотворча</w:t>
      </w:r>
      <w:proofErr w:type="spellEnd"/>
      <w:r w:rsidRPr="00140D5B">
        <w:rPr>
          <w:i/>
          <w:color w:val="7030A0"/>
          <w:sz w:val="28"/>
          <w:szCs w:val="28"/>
          <w:lang w:val="ru-RU"/>
        </w:rPr>
        <w:t xml:space="preserve"> </w:t>
      </w:r>
      <w:proofErr w:type="spellStart"/>
      <w:r w:rsidRPr="00140D5B">
        <w:rPr>
          <w:i/>
          <w:color w:val="7030A0"/>
          <w:sz w:val="28"/>
          <w:szCs w:val="28"/>
          <w:lang w:val="ru-RU"/>
        </w:rPr>
        <w:t>техніка</w:t>
      </w:r>
      <w:proofErr w:type="spellEnd"/>
      <w:r w:rsidRPr="00140D5B">
        <w:rPr>
          <w:bCs/>
          <w:i/>
          <w:color w:val="7030A0"/>
          <w:sz w:val="28"/>
          <w:szCs w:val="28"/>
          <w:lang w:val="uk-UA"/>
        </w:rPr>
        <w:t xml:space="preserve">. Правила формування змісту та форми нормативно правового </w:t>
      </w:r>
      <w:proofErr w:type="spellStart"/>
      <w:r w:rsidRPr="00140D5B">
        <w:rPr>
          <w:bCs/>
          <w:i/>
          <w:color w:val="7030A0"/>
          <w:sz w:val="28"/>
          <w:szCs w:val="28"/>
          <w:lang w:val="uk-UA"/>
        </w:rPr>
        <w:t>акта</w:t>
      </w:r>
      <w:proofErr w:type="spellEnd"/>
      <w:r w:rsidRPr="00140D5B">
        <w:rPr>
          <w:bCs/>
          <w:i/>
          <w:color w:val="7030A0"/>
          <w:sz w:val="28"/>
          <w:szCs w:val="28"/>
          <w:lang w:val="uk-UA"/>
        </w:rPr>
        <w:t>.</w:t>
      </w:r>
    </w:p>
    <w:p w:rsidR="00097760" w:rsidRPr="00140D5B" w:rsidRDefault="00097760" w:rsidP="00097760">
      <w:pPr>
        <w:pStyle w:val="Standard"/>
        <w:ind w:left="1440" w:hanging="1440"/>
        <w:rPr>
          <w:b/>
          <w:bCs/>
          <w:color w:val="7030A0"/>
          <w:lang w:val="uk-UA"/>
        </w:rPr>
      </w:pPr>
    </w:p>
    <w:p w:rsidR="00097760" w:rsidRPr="00140D5B" w:rsidRDefault="00097760" w:rsidP="00097760">
      <w:pPr>
        <w:pStyle w:val="Standard"/>
        <w:ind w:left="1440" w:hanging="1440"/>
        <w:rPr>
          <w:b/>
          <w:color w:val="7030A0"/>
          <w:lang w:val="ru-RU"/>
        </w:rPr>
      </w:pPr>
      <w:r w:rsidRPr="00140D5B">
        <w:rPr>
          <w:b/>
          <w:bCs/>
          <w:color w:val="7030A0"/>
          <w:lang w:val="uk-UA"/>
        </w:rPr>
        <w:t>Теоретичні питання.</w:t>
      </w:r>
    </w:p>
    <w:p w:rsidR="00097760" w:rsidRPr="00140D5B" w:rsidRDefault="00097760" w:rsidP="00097760">
      <w:pPr>
        <w:pStyle w:val="Standard"/>
        <w:rPr>
          <w:color w:val="7030A0"/>
          <w:lang w:val="uk-UA"/>
        </w:rPr>
      </w:pPr>
      <w:r w:rsidRPr="00140D5B">
        <w:rPr>
          <w:color w:val="7030A0"/>
          <w:lang w:val="uk-UA"/>
        </w:rPr>
        <w:t>1. Загальні вимоги до змісту нормативно-правових актів.</w:t>
      </w:r>
    </w:p>
    <w:p w:rsidR="00097760" w:rsidRPr="00140D5B" w:rsidRDefault="00097760" w:rsidP="00097760">
      <w:pPr>
        <w:pStyle w:val="Standard"/>
        <w:rPr>
          <w:color w:val="7030A0"/>
          <w:lang w:val="uk-UA"/>
        </w:rPr>
      </w:pPr>
      <w:r w:rsidRPr="00140D5B">
        <w:rPr>
          <w:color w:val="7030A0"/>
          <w:lang w:val="uk-UA"/>
        </w:rPr>
        <w:t>2. Формально-логічні вимоги до нормативно-правових актів.</w:t>
      </w:r>
    </w:p>
    <w:p w:rsidR="00097760" w:rsidRPr="00140D5B" w:rsidRDefault="00097760" w:rsidP="00097760">
      <w:pPr>
        <w:pStyle w:val="Standard"/>
        <w:rPr>
          <w:color w:val="7030A0"/>
          <w:lang w:val="uk-UA"/>
        </w:rPr>
      </w:pPr>
      <w:r w:rsidRPr="00140D5B">
        <w:rPr>
          <w:color w:val="7030A0"/>
          <w:lang w:val="uk-UA"/>
        </w:rPr>
        <w:t>3. Юридичні конструкції у правотворчій техніці. Юридичні дефініції, презумпції,</w:t>
      </w:r>
    </w:p>
    <w:p w:rsidR="00097760" w:rsidRPr="00140D5B" w:rsidRDefault="00097760" w:rsidP="00097760">
      <w:pPr>
        <w:pStyle w:val="Standard"/>
        <w:ind w:left="1440" w:hanging="1440"/>
        <w:rPr>
          <w:color w:val="7030A0"/>
          <w:lang w:val="uk-UA"/>
        </w:rPr>
      </w:pPr>
      <w:r w:rsidRPr="00140D5B">
        <w:rPr>
          <w:color w:val="7030A0"/>
          <w:lang w:val="uk-UA"/>
        </w:rPr>
        <w:t>фікції, аксіоми</w:t>
      </w:r>
      <w:r w:rsidRPr="00140D5B">
        <w:rPr>
          <w:b/>
          <w:color w:val="7030A0"/>
          <w:lang w:val="uk-UA"/>
        </w:rPr>
        <w:t>.</w:t>
      </w:r>
    </w:p>
    <w:p w:rsidR="00097760" w:rsidRPr="00140D5B" w:rsidRDefault="00097760" w:rsidP="00097760">
      <w:pPr>
        <w:pStyle w:val="Standard"/>
        <w:ind w:left="1440" w:hanging="1440"/>
        <w:rPr>
          <w:color w:val="7030A0"/>
          <w:lang w:val="uk-UA"/>
        </w:rPr>
      </w:pPr>
      <w:r w:rsidRPr="00140D5B">
        <w:rPr>
          <w:color w:val="7030A0"/>
          <w:lang w:val="uk-UA"/>
        </w:rPr>
        <w:t>4. Структуризація нормативно-правових актів.</w:t>
      </w:r>
    </w:p>
    <w:p w:rsidR="00097760" w:rsidRPr="00140D5B" w:rsidRDefault="00097760" w:rsidP="00097760">
      <w:pPr>
        <w:pStyle w:val="Standard"/>
        <w:rPr>
          <w:color w:val="7030A0"/>
          <w:lang w:val="uk-UA"/>
        </w:rPr>
      </w:pPr>
      <w:r w:rsidRPr="00140D5B">
        <w:rPr>
          <w:color w:val="7030A0"/>
          <w:lang w:val="uk-UA"/>
        </w:rPr>
        <w:t>5. Вимоги до мови нормативно-правових актів.</w:t>
      </w:r>
    </w:p>
    <w:p w:rsidR="00E96DCB" w:rsidRPr="00140D5B" w:rsidRDefault="00E96DCB" w:rsidP="00097760">
      <w:pPr>
        <w:pStyle w:val="Standard"/>
        <w:rPr>
          <w:color w:val="7030A0"/>
          <w:lang w:val="uk-UA"/>
        </w:rPr>
      </w:pPr>
    </w:p>
    <w:p w:rsidR="00E96DCB" w:rsidRPr="00140D5B" w:rsidRDefault="00E96DCB" w:rsidP="00E96DCB">
      <w:pPr>
        <w:rPr>
          <w:b/>
          <w:color w:val="7030A0"/>
          <w:lang w:val="uk-UA"/>
        </w:rPr>
      </w:pPr>
      <w:r w:rsidRPr="00140D5B">
        <w:rPr>
          <w:b/>
          <w:color w:val="7030A0"/>
          <w:lang w:val="uk-UA"/>
        </w:rPr>
        <w:t xml:space="preserve">Список необхідних для засвоєння теми джерел вказано у </w:t>
      </w:r>
      <w:proofErr w:type="spellStart"/>
      <w:r w:rsidRPr="00140D5B">
        <w:rPr>
          <w:b/>
          <w:color w:val="7030A0"/>
          <w:lang w:val="uk-UA"/>
        </w:rPr>
        <w:t>силабусі</w:t>
      </w:r>
      <w:proofErr w:type="spellEnd"/>
      <w:r w:rsidRPr="00140D5B">
        <w:rPr>
          <w:b/>
          <w:color w:val="7030A0"/>
          <w:lang w:val="en-US"/>
        </w:rPr>
        <w:t xml:space="preserve"> </w:t>
      </w:r>
      <w:r w:rsidRPr="00140D5B">
        <w:rPr>
          <w:b/>
          <w:color w:val="7030A0"/>
          <w:lang w:val="uk-UA"/>
        </w:rPr>
        <w:t xml:space="preserve">та робочій програмі до навчальної дисципліни. </w:t>
      </w:r>
    </w:p>
    <w:p w:rsidR="00E96DCB" w:rsidRPr="00140D5B" w:rsidRDefault="00E96DCB" w:rsidP="00E96DCB">
      <w:pPr>
        <w:pStyle w:val="Standard"/>
        <w:rPr>
          <w:color w:val="7030A0"/>
          <w:lang w:val="uk-UA"/>
        </w:rPr>
      </w:pPr>
    </w:p>
    <w:p w:rsidR="00097760" w:rsidRPr="00140D5B" w:rsidRDefault="00097760" w:rsidP="00097760">
      <w:pPr>
        <w:pStyle w:val="Standard"/>
        <w:rPr>
          <w:b/>
          <w:color w:val="7030A0"/>
          <w:lang w:val="uk-UA"/>
        </w:rPr>
      </w:pPr>
      <w:r w:rsidRPr="00140D5B">
        <w:rPr>
          <w:b/>
          <w:color w:val="7030A0"/>
          <w:lang w:val="uk-UA"/>
        </w:rPr>
        <w:t>Практичні завдання.</w:t>
      </w:r>
    </w:p>
    <w:p w:rsidR="00097760" w:rsidRPr="00140D5B" w:rsidRDefault="00097760" w:rsidP="00097760">
      <w:pPr>
        <w:pStyle w:val="Standard"/>
        <w:numPr>
          <w:ilvl w:val="0"/>
          <w:numId w:val="2"/>
        </w:numPr>
        <w:ind w:left="360"/>
        <w:rPr>
          <w:i/>
          <w:color w:val="7030A0"/>
          <w:lang w:val="uk-UA"/>
        </w:rPr>
      </w:pPr>
      <w:r w:rsidRPr="00140D5B">
        <w:rPr>
          <w:i/>
          <w:color w:val="7030A0"/>
          <w:lang w:val="uk-UA"/>
        </w:rPr>
        <w:t>Для студентів денної форми навчання (відповідно до робочого навчального плану 2 практичні заняття) – блок  № 1, блок № 2.</w:t>
      </w:r>
    </w:p>
    <w:p w:rsidR="00097760" w:rsidRPr="00140D5B" w:rsidRDefault="00097760" w:rsidP="00097760">
      <w:pPr>
        <w:pStyle w:val="Standard"/>
        <w:numPr>
          <w:ilvl w:val="0"/>
          <w:numId w:val="2"/>
        </w:numPr>
        <w:ind w:left="360"/>
        <w:rPr>
          <w:i/>
          <w:color w:val="7030A0"/>
          <w:lang w:val="uk-UA"/>
        </w:rPr>
      </w:pPr>
      <w:r w:rsidRPr="00140D5B">
        <w:rPr>
          <w:i/>
          <w:color w:val="7030A0"/>
          <w:lang w:val="uk-UA"/>
        </w:rPr>
        <w:t>Для студентів заочної  форми навчання (відповідно до робочого навчального плану 1 практичне заняття) – блок  № 1.</w:t>
      </w:r>
    </w:p>
    <w:p w:rsidR="00097760" w:rsidRPr="00140D5B" w:rsidRDefault="00097760" w:rsidP="00097760">
      <w:pPr>
        <w:pStyle w:val="Standard"/>
        <w:rPr>
          <w:color w:val="7030A0"/>
          <w:lang w:val="uk-UA"/>
        </w:rPr>
      </w:pPr>
    </w:p>
    <w:p w:rsidR="00097760" w:rsidRPr="00140D5B" w:rsidRDefault="00097760" w:rsidP="00E96DCB">
      <w:pPr>
        <w:pStyle w:val="Standard"/>
        <w:rPr>
          <w:color w:val="7030A0"/>
          <w:lang w:val="uk-UA"/>
        </w:rPr>
      </w:pPr>
      <w:r w:rsidRPr="00140D5B">
        <w:rPr>
          <w:b/>
          <w:color w:val="7030A0"/>
          <w:u w:val="single"/>
          <w:lang w:val="uk-UA"/>
        </w:rPr>
        <w:t>Блок № 1</w:t>
      </w:r>
      <w:r w:rsidRPr="00140D5B">
        <w:rPr>
          <w:color w:val="7030A0"/>
          <w:lang w:val="uk-UA"/>
        </w:rPr>
        <w:t xml:space="preserve">. </w:t>
      </w:r>
    </w:p>
    <w:p w:rsidR="00E96DCB" w:rsidRPr="00140D5B" w:rsidRDefault="00E96DCB" w:rsidP="00E96DCB">
      <w:pPr>
        <w:jc w:val="both"/>
        <w:rPr>
          <w:b/>
          <w:color w:val="7030A0"/>
          <w:lang w:val="uk-UA"/>
        </w:rPr>
      </w:pPr>
      <w:r w:rsidRPr="00140D5B">
        <w:rPr>
          <w:i/>
          <w:color w:val="7030A0"/>
          <w:lang w:val="uk-UA"/>
        </w:rPr>
        <w:t>Практичне завдання № 1</w:t>
      </w:r>
      <w:r w:rsidRPr="00140D5B">
        <w:rPr>
          <w:b/>
          <w:color w:val="7030A0"/>
          <w:lang w:val="uk-UA"/>
        </w:rPr>
        <w:t>.</w:t>
      </w:r>
    </w:p>
    <w:p w:rsidR="00E96DCB" w:rsidRPr="00140D5B" w:rsidRDefault="00E96DCB" w:rsidP="00E96DCB">
      <w:pPr>
        <w:jc w:val="both"/>
        <w:rPr>
          <w:color w:val="7030A0"/>
          <w:lang w:val="uk-UA"/>
        </w:rPr>
      </w:pPr>
      <w:r w:rsidRPr="00140D5B">
        <w:rPr>
          <w:color w:val="7030A0"/>
          <w:lang w:val="uk-UA"/>
        </w:rPr>
        <w:t xml:space="preserve">Проаналізуйте проект Закону України «Про правотворчу діяльність» (5707) на предмет відповідності загальним та логічним вимогам </w:t>
      </w:r>
      <w:proofErr w:type="spellStart"/>
      <w:r w:rsidRPr="00140D5B">
        <w:rPr>
          <w:color w:val="7030A0"/>
          <w:lang w:val="uk-UA"/>
        </w:rPr>
        <w:t>нормопроектної</w:t>
      </w:r>
      <w:proofErr w:type="spellEnd"/>
      <w:r w:rsidRPr="00140D5B">
        <w:rPr>
          <w:color w:val="7030A0"/>
          <w:lang w:val="uk-UA"/>
        </w:rPr>
        <w:t xml:space="preserve"> техніки. Обґрунтуйте суспільну обумовленість прийняття цього Закону, спрогнозуйте результати його впливу на</w:t>
      </w:r>
      <w:r w:rsidRPr="00140D5B">
        <w:rPr>
          <w:color w:val="7030A0"/>
        </w:rPr>
        <w:t xml:space="preserve"> </w:t>
      </w:r>
      <w:r w:rsidRPr="00140D5B">
        <w:rPr>
          <w:color w:val="7030A0"/>
          <w:lang w:val="uk-UA"/>
        </w:rPr>
        <w:t>відповідні суспільні відносини.</w:t>
      </w:r>
    </w:p>
    <w:p w:rsidR="009A29E2" w:rsidRPr="00140D5B" w:rsidRDefault="009A29E2" w:rsidP="009A29E2">
      <w:pPr>
        <w:pStyle w:val="1"/>
        <w:ind w:right="0" w:firstLine="0"/>
        <w:rPr>
          <w:b w:val="0"/>
          <w:i/>
          <w:color w:val="7030A0"/>
          <w:lang w:eastAsia="ru-RU"/>
        </w:rPr>
      </w:pPr>
    </w:p>
    <w:p w:rsidR="00FB4D60" w:rsidRPr="00140D5B" w:rsidRDefault="00FB4D60" w:rsidP="00FB4D60">
      <w:pPr>
        <w:jc w:val="both"/>
        <w:rPr>
          <w:color w:val="7030A0"/>
        </w:rPr>
      </w:pPr>
      <w:r w:rsidRPr="00140D5B">
        <w:rPr>
          <w:i/>
          <w:color w:val="7030A0"/>
          <w:lang w:val="uk-UA"/>
        </w:rPr>
        <w:t>Практичне завдання № 2.</w:t>
      </w:r>
    </w:p>
    <w:p w:rsidR="009A29E2" w:rsidRPr="00241BB5" w:rsidRDefault="009A29E2" w:rsidP="00166019">
      <w:pPr>
        <w:pStyle w:val="1"/>
        <w:ind w:right="0" w:firstLine="0"/>
        <w:rPr>
          <w:b w:val="0"/>
          <w:color w:val="7030A0"/>
        </w:rPr>
      </w:pPr>
      <w:r w:rsidRPr="00241BB5">
        <w:rPr>
          <w:b w:val="0"/>
          <w:color w:val="7030A0"/>
        </w:rPr>
        <w:t>Оцініть на предмет відповід</w:t>
      </w:r>
      <w:r w:rsidR="00166019" w:rsidRPr="00241BB5">
        <w:rPr>
          <w:b w:val="0"/>
          <w:color w:val="7030A0"/>
        </w:rPr>
        <w:t>н</w:t>
      </w:r>
      <w:r w:rsidR="00241BB5" w:rsidRPr="00241BB5">
        <w:rPr>
          <w:b w:val="0"/>
          <w:color w:val="7030A0"/>
        </w:rPr>
        <w:t xml:space="preserve">ості логічним правилам наведені </w:t>
      </w:r>
      <w:r w:rsidRPr="00241BB5">
        <w:rPr>
          <w:b w:val="0"/>
          <w:color w:val="7030A0"/>
        </w:rPr>
        <w:t>нижче правов</w:t>
      </w:r>
      <w:r w:rsidR="00241BB5" w:rsidRPr="00241BB5">
        <w:rPr>
          <w:b w:val="0"/>
          <w:color w:val="7030A0"/>
        </w:rPr>
        <w:t>і</w:t>
      </w:r>
      <w:r w:rsidRPr="00241BB5">
        <w:rPr>
          <w:b w:val="0"/>
          <w:color w:val="7030A0"/>
        </w:rPr>
        <w:t xml:space="preserve"> п</w:t>
      </w:r>
      <w:r w:rsidR="00166019" w:rsidRPr="00241BB5">
        <w:rPr>
          <w:b w:val="0"/>
          <w:color w:val="7030A0"/>
        </w:rPr>
        <w:t>рипис</w:t>
      </w:r>
      <w:r w:rsidR="00241BB5" w:rsidRPr="00241BB5">
        <w:rPr>
          <w:b w:val="0"/>
          <w:color w:val="7030A0"/>
        </w:rPr>
        <w:t>и</w:t>
      </w:r>
      <w:r w:rsidR="00166019" w:rsidRPr="00241BB5">
        <w:rPr>
          <w:b w:val="0"/>
          <w:color w:val="7030A0"/>
        </w:rPr>
        <w:t>:</w:t>
      </w:r>
    </w:p>
    <w:p w:rsidR="00166019" w:rsidRPr="00241BB5" w:rsidRDefault="00166019" w:rsidP="00166019">
      <w:pPr>
        <w:jc w:val="both"/>
        <w:rPr>
          <w:color w:val="7030A0"/>
          <w:lang w:val="uk-UA"/>
        </w:rPr>
      </w:pPr>
      <w:r w:rsidRPr="00241BB5">
        <w:rPr>
          <w:color w:val="7030A0"/>
          <w:lang w:val="uk-UA"/>
        </w:rPr>
        <w:t>Частина 1 ст. 29 КПК встановлює, що: «кримінальне провад</w:t>
      </w:r>
      <w:r w:rsidRPr="00241BB5">
        <w:rPr>
          <w:color w:val="7030A0"/>
          <w:lang w:val="uk-UA"/>
        </w:rPr>
        <w:softHyphen/>
        <w:t>ження здійснюється дер</w:t>
      </w:r>
      <w:r w:rsidRPr="00241BB5">
        <w:rPr>
          <w:color w:val="7030A0"/>
          <w:lang w:val="uk-UA"/>
        </w:rPr>
        <w:softHyphen/>
        <w:t>жавною мовою». Натомість у ч. 1 ст. 14 Закону України «</w:t>
      </w:r>
      <w:r w:rsidRPr="00241BB5">
        <w:rPr>
          <w:rStyle w:val="rvts23"/>
          <w:color w:val="7030A0"/>
          <w:lang w:val="uk-UA"/>
        </w:rPr>
        <w:t xml:space="preserve">Про засади державної </w:t>
      </w:r>
      <w:proofErr w:type="spellStart"/>
      <w:r w:rsidRPr="00241BB5">
        <w:rPr>
          <w:rStyle w:val="rvts23"/>
          <w:color w:val="7030A0"/>
          <w:lang w:val="uk-UA"/>
        </w:rPr>
        <w:t>мовної</w:t>
      </w:r>
      <w:proofErr w:type="spellEnd"/>
      <w:r w:rsidRPr="00241BB5">
        <w:rPr>
          <w:rStyle w:val="rvts23"/>
          <w:color w:val="7030A0"/>
          <w:lang w:val="uk-UA"/>
        </w:rPr>
        <w:t xml:space="preserve"> політики</w:t>
      </w:r>
      <w:r w:rsidRPr="00241BB5">
        <w:rPr>
          <w:color w:val="7030A0"/>
          <w:lang w:val="uk-UA"/>
        </w:rPr>
        <w:t>» зазначено, що: «</w:t>
      </w:r>
      <w:bookmarkStart w:id="0" w:name="n92"/>
      <w:bookmarkStart w:id="1" w:name="n93"/>
      <w:bookmarkEnd w:id="0"/>
      <w:bookmarkEnd w:id="1"/>
      <w:r w:rsidRPr="00241BB5">
        <w:rPr>
          <w:color w:val="7030A0"/>
          <w:shd w:val="clear" w:color="auto" w:fill="FFFFFF"/>
          <w:lang w:val="uk-UA"/>
        </w:rPr>
        <w:t>Судочинство в Україні у цивільних, господарських, адміністративних і кримінальних справах здійснюється державною мовою. У межах території, на якій поширена регіональна мова (мови), що відповідає умовам </w:t>
      </w:r>
      <w:hyperlink r:id="rId5" w:anchor="n66" w:history="1">
        <w:r w:rsidRPr="00241BB5">
          <w:rPr>
            <w:rStyle w:val="a7"/>
            <w:color w:val="7030A0"/>
            <w:shd w:val="clear" w:color="auto" w:fill="FFFFFF"/>
            <w:lang w:val="uk-UA"/>
          </w:rPr>
          <w:t>частини третьої статті 8</w:t>
        </w:r>
      </w:hyperlink>
      <w:r w:rsidRPr="00241BB5">
        <w:rPr>
          <w:color w:val="7030A0"/>
          <w:shd w:val="clear" w:color="auto" w:fill="FFFFFF"/>
          <w:lang w:val="uk-UA"/>
        </w:rPr>
        <w:t> цього Закону, за згодою сторін суди можуть здійснювати провадження цією регіональною мовою (мовами).</w:t>
      </w:r>
      <w:r w:rsidRPr="00241BB5">
        <w:rPr>
          <w:color w:val="7030A0"/>
          <w:lang w:val="uk-UA"/>
        </w:rPr>
        <w:t>»</w:t>
      </w:r>
    </w:p>
    <w:p w:rsidR="00166019" w:rsidRPr="00241BB5" w:rsidRDefault="00166019" w:rsidP="00166019">
      <w:pPr>
        <w:rPr>
          <w:color w:val="7030A0"/>
          <w:lang w:val="uk-UA" w:eastAsia="uk-UA"/>
        </w:rPr>
      </w:pPr>
    </w:p>
    <w:p w:rsidR="004C335A" w:rsidRPr="00140D5B" w:rsidRDefault="009A29E2" w:rsidP="009A29E2">
      <w:pPr>
        <w:jc w:val="both"/>
        <w:rPr>
          <w:color w:val="7030A0"/>
        </w:rPr>
      </w:pPr>
      <w:r w:rsidRPr="00140D5B">
        <w:rPr>
          <w:i/>
          <w:color w:val="7030A0"/>
          <w:lang w:val="uk-UA"/>
        </w:rPr>
        <w:t xml:space="preserve">Практичне завдання № </w:t>
      </w:r>
      <w:r w:rsidR="00FB4D60" w:rsidRPr="00140D5B">
        <w:rPr>
          <w:i/>
          <w:color w:val="7030A0"/>
          <w:lang w:val="uk-UA"/>
        </w:rPr>
        <w:t>3</w:t>
      </w:r>
      <w:r w:rsidRPr="00140D5B">
        <w:rPr>
          <w:i/>
          <w:color w:val="7030A0"/>
          <w:lang w:val="uk-UA"/>
        </w:rPr>
        <w:t>.</w:t>
      </w:r>
    </w:p>
    <w:p w:rsidR="009A29E2" w:rsidRPr="00140D5B" w:rsidRDefault="009A29E2" w:rsidP="009A29E2">
      <w:pPr>
        <w:rPr>
          <w:color w:val="7030A0"/>
          <w:lang w:val="uk-UA"/>
        </w:rPr>
      </w:pPr>
      <w:r w:rsidRPr="00140D5B">
        <w:rPr>
          <w:color w:val="7030A0"/>
          <w:lang w:val="uk-UA"/>
        </w:rPr>
        <w:t>Встановіть відповідність у вигляді комбінацій цифр і букв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7"/>
      </w:tblGrid>
      <w:tr w:rsidR="009A29E2" w:rsidRPr="00140D5B" w:rsidTr="009A29E2">
        <w:tc>
          <w:tcPr>
            <w:tcW w:w="4812" w:type="dxa"/>
            <w:shd w:val="clear" w:color="auto" w:fill="auto"/>
          </w:tcPr>
          <w:p w:rsidR="009A29E2" w:rsidRPr="00140D5B" w:rsidRDefault="009A29E2" w:rsidP="006A278A">
            <w:pPr>
              <w:rPr>
                <w:color w:val="7030A0"/>
                <w:lang w:val="uk-UA"/>
              </w:rPr>
            </w:pPr>
            <w:r w:rsidRPr="00140D5B">
              <w:rPr>
                <w:color w:val="7030A0"/>
                <w:lang w:val="uk-UA"/>
              </w:rPr>
              <w:t>Засоби нормотворчої техніки</w:t>
            </w:r>
          </w:p>
        </w:tc>
        <w:tc>
          <w:tcPr>
            <w:tcW w:w="4817" w:type="dxa"/>
            <w:shd w:val="clear" w:color="auto" w:fill="auto"/>
          </w:tcPr>
          <w:p w:rsidR="009A29E2" w:rsidRPr="00140D5B" w:rsidRDefault="009A29E2" w:rsidP="006A278A">
            <w:pPr>
              <w:rPr>
                <w:color w:val="7030A0"/>
                <w:lang w:val="uk-UA"/>
              </w:rPr>
            </w:pPr>
            <w:r w:rsidRPr="00140D5B">
              <w:rPr>
                <w:color w:val="7030A0"/>
                <w:lang w:val="uk-UA"/>
              </w:rPr>
              <w:t xml:space="preserve"> Їх ознаки</w:t>
            </w:r>
          </w:p>
        </w:tc>
      </w:tr>
      <w:tr w:rsidR="009A29E2" w:rsidRPr="00140D5B" w:rsidTr="009A29E2">
        <w:tc>
          <w:tcPr>
            <w:tcW w:w="4812" w:type="dxa"/>
            <w:shd w:val="clear" w:color="auto" w:fill="auto"/>
          </w:tcPr>
          <w:p w:rsidR="009A29E2" w:rsidRPr="00140D5B" w:rsidRDefault="009A29E2" w:rsidP="006A278A">
            <w:pPr>
              <w:jc w:val="both"/>
              <w:rPr>
                <w:color w:val="7030A0"/>
                <w:lang w:val="uk-UA"/>
              </w:rPr>
            </w:pPr>
            <w:r w:rsidRPr="00140D5B">
              <w:rPr>
                <w:color w:val="7030A0"/>
                <w:lang w:val="uk-UA"/>
              </w:rPr>
              <w:t>1.юридичні конструкції</w:t>
            </w:r>
          </w:p>
          <w:p w:rsidR="009A29E2" w:rsidRPr="00140D5B" w:rsidRDefault="009A29E2" w:rsidP="006A278A">
            <w:pPr>
              <w:ind w:left="360"/>
              <w:jc w:val="both"/>
              <w:rPr>
                <w:color w:val="7030A0"/>
                <w:lang w:val="uk-UA"/>
              </w:rPr>
            </w:pPr>
          </w:p>
        </w:tc>
        <w:tc>
          <w:tcPr>
            <w:tcW w:w="4817" w:type="dxa"/>
            <w:shd w:val="clear" w:color="auto" w:fill="auto"/>
          </w:tcPr>
          <w:p w:rsidR="009A29E2" w:rsidRPr="00140D5B" w:rsidRDefault="009A29E2" w:rsidP="006A278A">
            <w:pPr>
              <w:rPr>
                <w:color w:val="7030A0"/>
                <w:lang w:val="uk-UA"/>
              </w:rPr>
            </w:pPr>
            <w:r w:rsidRPr="00140D5B">
              <w:rPr>
                <w:color w:val="7030A0"/>
                <w:lang w:val="uk-UA"/>
              </w:rPr>
              <w:t>А. містить єдине визначення, що охоплює усі можливі ознаки, і має відповідно регулятивний характер</w:t>
            </w:r>
          </w:p>
        </w:tc>
      </w:tr>
      <w:tr w:rsidR="009A29E2" w:rsidRPr="00140D5B" w:rsidTr="009A29E2">
        <w:tc>
          <w:tcPr>
            <w:tcW w:w="4812" w:type="dxa"/>
            <w:shd w:val="clear" w:color="auto" w:fill="auto"/>
          </w:tcPr>
          <w:p w:rsidR="009A29E2" w:rsidRPr="00140D5B" w:rsidRDefault="009A29E2" w:rsidP="006A278A">
            <w:pPr>
              <w:jc w:val="both"/>
              <w:rPr>
                <w:color w:val="7030A0"/>
                <w:lang w:val="uk-UA"/>
              </w:rPr>
            </w:pPr>
            <w:r w:rsidRPr="00140D5B">
              <w:rPr>
                <w:color w:val="7030A0"/>
                <w:lang w:val="uk-UA"/>
              </w:rPr>
              <w:t>2. правові дефініції;</w:t>
            </w:r>
          </w:p>
          <w:p w:rsidR="009A29E2" w:rsidRPr="00140D5B" w:rsidRDefault="009A29E2" w:rsidP="006A278A">
            <w:pPr>
              <w:rPr>
                <w:color w:val="7030A0"/>
                <w:lang w:val="uk-UA"/>
              </w:rPr>
            </w:pPr>
          </w:p>
        </w:tc>
        <w:tc>
          <w:tcPr>
            <w:tcW w:w="4817" w:type="dxa"/>
            <w:shd w:val="clear" w:color="auto" w:fill="auto"/>
          </w:tcPr>
          <w:p w:rsidR="009A29E2" w:rsidRPr="00140D5B" w:rsidRDefault="009A29E2" w:rsidP="006A278A">
            <w:pPr>
              <w:rPr>
                <w:color w:val="7030A0"/>
                <w:lang w:val="uk-UA"/>
              </w:rPr>
            </w:pPr>
            <w:r w:rsidRPr="00140D5B">
              <w:rPr>
                <w:color w:val="7030A0"/>
                <w:lang w:val="uk-UA"/>
              </w:rPr>
              <w:t>Б. форма узагальненого відображення правової дійсності</w:t>
            </w:r>
          </w:p>
        </w:tc>
      </w:tr>
      <w:tr w:rsidR="009A29E2" w:rsidRPr="00140D5B" w:rsidTr="009A29E2">
        <w:tc>
          <w:tcPr>
            <w:tcW w:w="4812" w:type="dxa"/>
            <w:shd w:val="clear" w:color="auto" w:fill="auto"/>
          </w:tcPr>
          <w:p w:rsidR="009A29E2" w:rsidRPr="00140D5B" w:rsidRDefault="009A29E2" w:rsidP="006A278A">
            <w:pPr>
              <w:rPr>
                <w:color w:val="7030A0"/>
                <w:lang w:val="uk-UA"/>
              </w:rPr>
            </w:pPr>
            <w:r w:rsidRPr="00140D5B">
              <w:rPr>
                <w:color w:val="7030A0"/>
                <w:lang w:val="uk-UA"/>
              </w:rPr>
              <w:t>3. правові презумпції</w:t>
            </w:r>
          </w:p>
        </w:tc>
        <w:tc>
          <w:tcPr>
            <w:tcW w:w="4817" w:type="dxa"/>
            <w:shd w:val="clear" w:color="auto" w:fill="auto"/>
          </w:tcPr>
          <w:p w:rsidR="009A29E2" w:rsidRPr="00140D5B" w:rsidRDefault="009A29E2" w:rsidP="006A278A">
            <w:pPr>
              <w:rPr>
                <w:color w:val="7030A0"/>
                <w:lang w:val="uk-UA"/>
              </w:rPr>
            </w:pPr>
            <w:r w:rsidRPr="00140D5B">
              <w:rPr>
                <w:color w:val="7030A0"/>
                <w:lang w:val="uk-UA"/>
              </w:rPr>
              <w:t>В. індуктивний характер</w:t>
            </w:r>
          </w:p>
        </w:tc>
      </w:tr>
      <w:tr w:rsidR="009A29E2" w:rsidRPr="00140D5B" w:rsidTr="009A29E2">
        <w:tc>
          <w:tcPr>
            <w:tcW w:w="4812" w:type="dxa"/>
            <w:shd w:val="clear" w:color="auto" w:fill="auto"/>
          </w:tcPr>
          <w:p w:rsidR="009A29E2" w:rsidRPr="00140D5B" w:rsidRDefault="009A29E2" w:rsidP="006A278A">
            <w:pPr>
              <w:rPr>
                <w:color w:val="7030A0"/>
                <w:lang w:val="uk-UA"/>
              </w:rPr>
            </w:pPr>
            <w:r w:rsidRPr="00140D5B">
              <w:rPr>
                <w:color w:val="7030A0"/>
                <w:lang w:val="uk-UA"/>
              </w:rPr>
              <w:t>4. правові фікції</w:t>
            </w:r>
          </w:p>
        </w:tc>
        <w:tc>
          <w:tcPr>
            <w:tcW w:w="4817" w:type="dxa"/>
            <w:shd w:val="clear" w:color="auto" w:fill="auto"/>
          </w:tcPr>
          <w:p w:rsidR="009A29E2" w:rsidRPr="00140D5B" w:rsidRDefault="009A29E2" w:rsidP="006A278A">
            <w:pPr>
              <w:jc w:val="both"/>
              <w:rPr>
                <w:color w:val="7030A0"/>
                <w:lang w:val="uk-UA"/>
              </w:rPr>
            </w:pPr>
            <w:r w:rsidRPr="00140D5B">
              <w:rPr>
                <w:color w:val="7030A0"/>
                <w:lang w:val="uk-UA"/>
              </w:rPr>
              <w:t>Г. це абстрактне правове поняття, що застосовується до соціальних явищ різного роду</w:t>
            </w:r>
          </w:p>
          <w:p w:rsidR="009A29E2" w:rsidRPr="00140D5B" w:rsidRDefault="009A29E2" w:rsidP="006A278A">
            <w:pPr>
              <w:rPr>
                <w:color w:val="7030A0"/>
                <w:lang w:val="uk-UA"/>
              </w:rPr>
            </w:pPr>
          </w:p>
        </w:tc>
      </w:tr>
      <w:tr w:rsidR="009A29E2" w:rsidRPr="00140D5B" w:rsidTr="009A29E2">
        <w:tc>
          <w:tcPr>
            <w:tcW w:w="4812" w:type="dxa"/>
            <w:shd w:val="clear" w:color="auto" w:fill="auto"/>
          </w:tcPr>
          <w:p w:rsidR="009A29E2" w:rsidRPr="00140D5B" w:rsidRDefault="009A29E2" w:rsidP="006A278A">
            <w:pPr>
              <w:rPr>
                <w:color w:val="7030A0"/>
                <w:lang w:val="uk-UA"/>
              </w:rPr>
            </w:pPr>
          </w:p>
        </w:tc>
        <w:tc>
          <w:tcPr>
            <w:tcW w:w="4817" w:type="dxa"/>
            <w:shd w:val="clear" w:color="auto" w:fill="auto"/>
          </w:tcPr>
          <w:p w:rsidR="009A29E2" w:rsidRPr="00140D5B" w:rsidRDefault="009A29E2" w:rsidP="006A278A">
            <w:pPr>
              <w:rPr>
                <w:color w:val="7030A0"/>
                <w:lang w:val="uk-UA"/>
              </w:rPr>
            </w:pPr>
            <w:r w:rsidRPr="00140D5B">
              <w:rPr>
                <w:color w:val="7030A0"/>
                <w:lang w:val="uk-UA"/>
              </w:rPr>
              <w:t xml:space="preserve">Д. детермінують властивості нормативно-правових приписів </w:t>
            </w:r>
          </w:p>
        </w:tc>
      </w:tr>
    </w:tbl>
    <w:p w:rsidR="009A29E2" w:rsidRPr="00140D5B" w:rsidRDefault="009A29E2" w:rsidP="009A29E2">
      <w:pPr>
        <w:rPr>
          <w:color w:val="7030A0"/>
          <w:lang w:val="uk-UA"/>
        </w:rPr>
      </w:pPr>
      <w:r w:rsidRPr="00140D5B">
        <w:rPr>
          <w:color w:val="7030A0"/>
          <w:lang w:val="uk-UA"/>
        </w:rPr>
        <w:t xml:space="preserve">1 - ; 2 - ; 3 - ; 4 - </w:t>
      </w:r>
    </w:p>
    <w:p w:rsidR="004C335A" w:rsidRPr="00140D5B" w:rsidRDefault="004C335A" w:rsidP="004C335A">
      <w:pPr>
        <w:pStyle w:val="3"/>
        <w:ind w:left="0"/>
        <w:rPr>
          <w:color w:val="7030A0"/>
        </w:rPr>
      </w:pPr>
    </w:p>
    <w:p w:rsidR="009A29E2" w:rsidRPr="00140D5B" w:rsidRDefault="009A29E2" w:rsidP="009A29E2">
      <w:pPr>
        <w:jc w:val="both"/>
        <w:rPr>
          <w:i/>
          <w:color w:val="7030A0"/>
          <w:lang w:val="uk-UA"/>
        </w:rPr>
      </w:pPr>
      <w:r w:rsidRPr="00140D5B">
        <w:rPr>
          <w:i/>
          <w:color w:val="7030A0"/>
          <w:lang w:val="uk-UA"/>
        </w:rPr>
        <w:t xml:space="preserve">Практичне завдання № </w:t>
      </w:r>
      <w:r w:rsidR="00166019" w:rsidRPr="00140D5B">
        <w:rPr>
          <w:i/>
          <w:color w:val="7030A0"/>
          <w:lang w:val="uk-UA"/>
        </w:rPr>
        <w:t>4</w:t>
      </w:r>
      <w:r w:rsidRPr="00140D5B">
        <w:rPr>
          <w:i/>
          <w:color w:val="7030A0"/>
          <w:lang w:val="uk-UA"/>
        </w:rPr>
        <w:t>.</w:t>
      </w:r>
    </w:p>
    <w:p w:rsidR="00FB4D60" w:rsidRPr="00241BB5" w:rsidRDefault="00FB4D60" w:rsidP="00FB4D60">
      <w:pPr>
        <w:widowControl w:val="0"/>
        <w:autoSpaceDE w:val="0"/>
        <w:autoSpaceDN w:val="0"/>
        <w:adjustRightInd w:val="0"/>
        <w:ind w:right="-40"/>
        <w:jc w:val="both"/>
        <w:rPr>
          <w:color w:val="7030A0"/>
          <w:lang w:val="uk-UA"/>
        </w:rPr>
      </w:pPr>
      <w:r w:rsidRPr="00241BB5">
        <w:rPr>
          <w:color w:val="7030A0"/>
          <w:lang w:val="uk-UA"/>
        </w:rPr>
        <w:lastRenderedPageBreak/>
        <w:t xml:space="preserve">Оцініть на предмет відповідності вимогам </w:t>
      </w:r>
      <w:proofErr w:type="spellStart"/>
      <w:r w:rsidRPr="00241BB5">
        <w:rPr>
          <w:color w:val="7030A0"/>
          <w:lang w:val="uk-UA"/>
        </w:rPr>
        <w:t>нормопроетної</w:t>
      </w:r>
      <w:proofErr w:type="spellEnd"/>
      <w:r w:rsidRPr="00241BB5">
        <w:rPr>
          <w:color w:val="7030A0"/>
          <w:lang w:val="uk-UA"/>
        </w:rPr>
        <w:t xml:space="preserve"> техніки (вимоги до мови закону) наведен</w:t>
      </w:r>
      <w:r w:rsidR="00917417">
        <w:rPr>
          <w:color w:val="7030A0"/>
          <w:lang w:val="uk-UA"/>
        </w:rPr>
        <w:t>ий припис</w:t>
      </w:r>
      <w:bookmarkStart w:id="2" w:name="_GoBack"/>
      <w:bookmarkEnd w:id="2"/>
      <w:r w:rsidRPr="00241BB5">
        <w:rPr>
          <w:color w:val="7030A0"/>
          <w:lang w:val="uk-UA"/>
        </w:rPr>
        <w:t xml:space="preserve">: </w:t>
      </w:r>
      <w:r w:rsidRPr="00241BB5">
        <w:rPr>
          <w:i/>
          <w:color w:val="7030A0"/>
          <w:lang w:val="uk-UA"/>
        </w:rPr>
        <w:t>«Конституційний Суд України вважає, що обмеження щодо реалізації конституційних прав і свобод не можуть бути свавільними та несправедливими, вони мають встановлюватися виключно Конституцією і законами України, переслідувати легітимну мету, бути обумовленими суспільною необхідністю досягнення цієї мети, пропорційними та обґрунтованими, у разі обмеження конституційного права або свободи законодавець зобов’язаний запровадити таке правове регулювання,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права».</w:t>
      </w:r>
      <w:r w:rsidRPr="00241BB5">
        <w:rPr>
          <w:color w:val="7030A0"/>
          <w:lang w:val="uk-UA"/>
        </w:rPr>
        <w:t xml:space="preserve"> </w:t>
      </w:r>
      <w:r w:rsidRPr="00241BB5">
        <w:rPr>
          <w:b/>
          <w:color w:val="7030A0"/>
          <w:lang w:val="uk-UA"/>
        </w:rPr>
        <w:t>//</w:t>
      </w:r>
      <w:r w:rsidRPr="00241BB5">
        <w:rPr>
          <w:color w:val="7030A0"/>
          <w:lang w:val="uk-UA"/>
        </w:rPr>
        <w:t>Рішення Конституційного Суду України від 1 червня 2016 року N 2-рп/2016 у справі N1-1/2016 за конституційним поданням Уповноваженого Верховної Ради України з прав людини щодо відповідності Конституції України (конституційності) положення третього речення частини першої статті 13 Закону України "Про психіатричну допомогу" (справа про судовий контроль за госпіталізацією недієздатних осіб до психіатричного закладу).</w:t>
      </w:r>
    </w:p>
    <w:p w:rsidR="00097760" w:rsidRPr="00140D5B" w:rsidRDefault="00097760" w:rsidP="00E96DCB">
      <w:pPr>
        <w:pStyle w:val="Standard"/>
        <w:rPr>
          <w:color w:val="7030A0"/>
          <w:lang w:val="uk-UA"/>
        </w:rPr>
      </w:pPr>
    </w:p>
    <w:p w:rsidR="00D00B40" w:rsidRPr="00140D5B" w:rsidRDefault="00D00B40" w:rsidP="00E96DCB">
      <w:pPr>
        <w:pStyle w:val="Standard"/>
        <w:rPr>
          <w:b/>
          <w:color w:val="7030A0"/>
          <w:u w:val="single"/>
          <w:lang w:val="uk-UA"/>
        </w:rPr>
      </w:pPr>
    </w:p>
    <w:p w:rsidR="00097760" w:rsidRPr="00140D5B" w:rsidRDefault="00097760" w:rsidP="00E96DCB">
      <w:pPr>
        <w:pStyle w:val="Standard"/>
        <w:rPr>
          <w:b/>
          <w:color w:val="7030A0"/>
          <w:lang w:val="uk-UA"/>
        </w:rPr>
      </w:pPr>
      <w:r w:rsidRPr="00140D5B">
        <w:rPr>
          <w:b/>
          <w:color w:val="7030A0"/>
          <w:u w:val="single"/>
          <w:lang w:val="uk-UA"/>
        </w:rPr>
        <w:t>Блок № 2</w:t>
      </w:r>
      <w:r w:rsidRPr="00140D5B">
        <w:rPr>
          <w:b/>
          <w:color w:val="7030A0"/>
          <w:lang w:val="uk-UA"/>
        </w:rPr>
        <w:t>.</w:t>
      </w:r>
    </w:p>
    <w:p w:rsidR="00E96DCB" w:rsidRPr="00140D5B" w:rsidRDefault="00E96DCB" w:rsidP="00E96DCB">
      <w:pPr>
        <w:jc w:val="both"/>
        <w:rPr>
          <w:i/>
          <w:color w:val="7030A0"/>
          <w:lang w:val="uk-UA"/>
        </w:rPr>
      </w:pPr>
      <w:r w:rsidRPr="00140D5B">
        <w:rPr>
          <w:i/>
          <w:color w:val="7030A0"/>
          <w:lang w:val="uk-UA"/>
        </w:rPr>
        <w:t>Практичне завдання № 1.</w:t>
      </w:r>
    </w:p>
    <w:p w:rsidR="00E96DCB" w:rsidRPr="00140D5B" w:rsidRDefault="00E96DCB" w:rsidP="00E96DCB">
      <w:pPr>
        <w:jc w:val="both"/>
        <w:rPr>
          <w:color w:val="7030A0"/>
          <w:lang w:val="uk-UA"/>
        </w:rPr>
      </w:pPr>
      <w:r w:rsidRPr="00140D5B">
        <w:rPr>
          <w:color w:val="7030A0"/>
          <w:lang w:val="uk-UA"/>
        </w:rPr>
        <w:t xml:space="preserve">Проаналізуйте проект Закону України «Про нормативно-правові акти» (7409) на предмет відповідності загальним та логічним вимогам </w:t>
      </w:r>
      <w:proofErr w:type="spellStart"/>
      <w:r w:rsidRPr="00140D5B">
        <w:rPr>
          <w:color w:val="7030A0"/>
          <w:lang w:val="uk-UA"/>
        </w:rPr>
        <w:t>нормопроектної</w:t>
      </w:r>
      <w:proofErr w:type="spellEnd"/>
      <w:r w:rsidRPr="00140D5B">
        <w:rPr>
          <w:color w:val="7030A0"/>
          <w:lang w:val="uk-UA"/>
        </w:rPr>
        <w:t xml:space="preserve"> техніки. Обґрунтуйте суспільну обумовленість прийняття цього Закону, спрогнозуйте результати його впливу на</w:t>
      </w:r>
      <w:r w:rsidRPr="00140D5B">
        <w:rPr>
          <w:color w:val="7030A0"/>
        </w:rPr>
        <w:t xml:space="preserve"> </w:t>
      </w:r>
      <w:r w:rsidRPr="00140D5B">
        <w:rPr>
          <w:color w:val="7030A0"/>
          <w:lang w:val="uk-UA"/>
        </w:rPr>
        <w:t>відповідні суспільні відносини.</w:t>
      </w:r>
    </w:p>
    <w:p w:rsidR="004C335A" w:rsidRPr="00140D5B" w:rsidRDefault="004C335A" w:rsidP="004C335A">
      <w:pPr>
        <w:jc w:val="both"/>
        <w:rPr>
          <w:b/>
          <w:color w:val="7030A0"/>
          <w:lang w:val="uk-UA"/>
        </w:rPr>
      </w:pPr>
    </w:p>
    <w:p w:rsidR="00AE4405" w:rsidRPr="00140D5B" w:rsidRDefault="00AE4405" w:rsidP="00AE4405">
      <w:pPr>
        <w:jc w:val="both"/>
        <w:rPr>
          <w:i/>
          <w:color w:val="7030A0"/>
          <w:lang w:val="uk-UA"/>
        </w:rPr>
      </w:pPr>
      <w:r w:rsidRPr="00140D5B">
        <w:rPr>
          <w:i/>
          <w:color w:val="7030A0"/>
          <w:lang w:val="uk-UA"/>
        </w:rPr>
        <w:t>Практичне завдання № 2.</w:t>
      </w:r>
    </w:p>
    <w:p w:rsidR="00FB4D60" w:rsidRPr="00241BB5" w:rsidRDefault="00FB4D60" w:rsidP="00FB4D60">
      <w:pPr>
        <w:rPr>
          <w:color w:val="7030A0"/>
          <w:lang w:val="uk-UA"/>
        </w:rPr>
      </w:pPr>
      <w:r w:rsidRPr="00241BB5">
        <w:rPr>
          <w:color w:val="7030A0"/>
          <w:lang w:val="uk-UA"/>
        </w:rPr>
        <w:t>Ознайомтесь із змістом наведених нижче законодавчих положень:</w:t>
      </w:r>
    </w:p>
    <w:p w:rsidR="00FB4D60" w:rsidRPr="00241BB5" w:rsidRDefault="00FB4D60" w:rsidP="00FB4D60">
      <w:pPr>
        <w:rPr>
          <w:color w:val="7030A0"/>
          <w:lang w:val="uk-UA"/>
        </w:rPr>
      </w:pPr>
      <w:r w:rsidRPr="00241BB5">
        <w:rPr>
          <w:color w:val="7030A0"/>
          <w:lang w:val="uk-UA"/>
        </w:rPr>
        <w:t>Конституції України.</w:t>
      </w:r>
    </w:p>
    <w:p w:rsidR="00FB4D60" w:rsidRPr="00241BB5" w:rsidRDefault="00FB4D60" w:rsidP="00FB4D60">
      <w:pPr>
        <w:rPr>
          <w:color w:val="7030A0"/>
          <w:lang w:val="uk-UA"/>
        </w:rPr>
      </w:pPr>
      <w:r w:rsidRPr="00241BB5">
        <w:rPr>
          <w:color w:val="7030A0"/>
          <w:lang w:val="uk-UA"/>
        </w:rPr>
        <w:t xml:space="preserve">Ст. 55. </w:t>
      </w:r>
    </w:p>
    <w:p w:rsidR="00FB4D60" w:rsidRPr="00241BB5" w:rsidRDefault="00FB4D60" w:rsidP="00FB4D60">
      <w:pPr>
        <w:jc w:val="both"/>
        <w:rPr>
          <w:color w:val="7030A0"/>
          <w:lang w:val="uk-UA"/>
        </w:rPr>
      </w:pPr>
      <w:r w:rsidRPr="00241BB5">
        <w:rPr>
          <w:color w:val="7030A0"/>
          <w:lang w:val="uk-UA"/>
        </w:rPr>
        <w:t xml:space="preserve">Кожному гарантується право звернутись із конституційною скаргою до Конституційного Суду України з підстав, установлених цією Конституцією, та у порядку, визначеному законом. </w:t>
      </w:r>
    </w:p>
    <w:p w:rsidR="00FB4D60" w:rsidRPr="00241BB5" w:rsidRDefault="00FB4D60" w:rsidP="00FB4D60">
      <w:pPr>
        <w:rPr>
          <w:color w:val="7030A0"/>
          <w:lang w:val="uk-UA"/>
        </w:rPr>
      </w:pPr>
      <w:r w:rsidRPr="00241BB5">
        <w:rPr>
          <w:color w:val="7030A0"/>
          <w:lang w:val="uk-UA"/>
        </w:rPr>
        <w:t xml:space="preserve">Ст. </w:t>
      </w:r>
      <w:r w:rsidRPr="00241BB5">
        <w:rPr>
          <w:rStyle w:val="rvts9"/>
          <w:color w:val="7030A0"/>
          <w:lang w:val="uk-UA"/>
        </w:rPr>
        <w:t>151-</w:t>
      </w:r>
      <w:r w:rsidRPr="00241BB5">
        <w:rPr>
          <w:rStyle w:val="rvts37"/>
          <w:color w:val="7030A0"/>
          <w:lang w:val="uk-UA"/>
        </w:rPr>
        <w:t>1</w:t>
      </w:r>
      <w:r w:rsidRPr="00241BB5">
        <w:rPr>
          <w:rStyle w:val="rvts9"/>
          <w:color w:val="7030A0"/>
          <w:lang w:val="uk-UA"/>
        </w:rPr>
        <w:t>.</w:t>
      </w:r>
    </w:p>
    <w:p w:rsidR="00FB4D60" w:rsidRPr="00241BB5" w:rsidRDefault="00FB4D60" w:rsidP="00FB4D60">
      <w:pPr>
        <w:jc w:val="both"/>
        <w:rPr>
          <w:color w:val="7030A0"/>
          <w:lang w:val="uk-UA"/>
        </w:rPr>
      </w:pPr>
      <w:r w:rsidRPr="00241BB5">
        <w:rPr>
          <w:color w:val="7030A0"/>
          <w:lang w:val="uk-UA"/>
        </w:rPr>
        <w:t>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закон України суперечить Конституції України. Конституційна скарга може бути подана в разі, якщо всі інші національні засоби юридичного</w:t>
      </w:r>
      <w:r w:rsidRPr="00241BB5">
        <w:rPr>
          <w:rFonts w:ascii="Roboto" w:hAnsi="Roboto" w:cs="Segoe UI"/>
          <w:color w:val="7030A0"/>
          <w:lang w:val="uk-UA"/>
        </w:rPr>
        <w:t xml:space="preserve"> </w:t>
      </w:r>
      <w:r w:rsidRPr="00241BB5">
        <w:rPr>
          <w:color w:val="7030A0"/>
          <w:lang w:val="uk-UA"/>
        </w:rPr>
        <w:t>захисту вичерпано.</w:t>
      </w:r>
    </w:p>
    <w:p w:rsidR="00FB4D60" w:rsidRPr="00241BB5" w:rsidRDefault="00FB4D60" w:rsidP="00FB4D60">
      <w:pPr>
        <w:jc w:val="both"/>
        <w:rPr>
          <w:color w:val="7030A0"/>
          <w:lang w:val="uk-UA"/>
        </w:rPr>
      </w:pPr>
      <w:r w:rsidRPr="00241BB5">
        <w:rPr>
          <w:color w:val="7030A0"/>
          <w:lang w:val="uk-UA"/>
        </w:rPr>
        <w:t>Закон України «Про Конституційний суд України»</w:t>
      </w:r>
    </w:p>
    <w:p w:rsidR="00FB4D60" w:rsidRPr="00241BB5" w:rsidRDefault="00FB4D60" w:rsidP="00FB4D60">
      <w:pPr>
        <w:jc w:val="both"/>
        <w:rPr>
          <w:color w:val="7030A0"/>
          <w:lang w:val="uk-UA"/>
        </w:rPr>
      </w:pPr>
      <w:r w:rsidRPr="00241BB5">
        <w:rPr>
          <w:color w:val="7030A0"/>
          <w:lang w:val="uk-UA"/>
        </w:rPr>
        <w:t xml:space="preserve">Ст. 7. </w:t>
      </w:r>
    </w:p>
    <w:p w:rsidR="00FB4D60" w:rsidRPr="00241BB5" w:rsidRDefault="00FB4D60" w:rsidP="00FB4D60">
      <w:pPr>
        <w:jc w:val="both"/>
        <w:rPr>
          <w:color w:val="7030A0"/>
          <w:lang w:val="uk-UA"/>
        </w:rPr>
      </w:pPr>
      <w:r w:rsidRPr="00241BB5">
        <w:rPr>
          <w:color w:val="7030A0"/>
          <w:lang w:val="uk-UA"/>
        </w:rPr>
        <w:t xml:space="preserve">До повноважень Суду належить: </w:t>
      </w:r>
    </w:p>
    <w:p w:rsidR="00FB4D60" w:rsidRPr="00140D5B" w:rsidRDefault="00FB4D60" w:rsidP="00FB4D6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40D5B">
        <w:rPr>
          <w:rFonts w:ascii="Times New Roman" w:hAnsi="Times New Roman" w:cs="Times New Roman"/>
          <w:color w:val="7030A0"/>
          <w:sz w:val="24"/>
          <w:szCs w:val="24"/>
        </w:rPr>
        <w:t xml:space="preserve">9) вирішення питань про відповідність </w:t>
      </w:r>
      <w:hyperlink r:id="rId6" w:tgtFrame="_blank" w:history="1">
        <w:r w:rsidRPr="00140D5B">
          <w:rPr>
            <w:rFonts w:ascii="Times New Roman" w:hAnsi="Times New Roman" w:cs="Times New Roman"/>
            <w:color w:val="7030A0"/>
            <w:sz w:val="24"/>
            <w:szCs w:val="24"/>
          </w:rPr>
          <w:t>Конституції України</w:t>
        </w:r>
      </w:hyperlink>
      <w:r w:rsidRPr="00140D5B">
        <w:rPr>
          <w:rFonts w:ascii="Times New Roman" w:hAnsi="Times New Roman" w:cs="Times New Roman"/>
          <w:color w:val="7030A0"/>
          <w:sz w:val="24"/>
          <w:szCs w:val="24"/>
        </w:rPr>
        <w:t xml:space="preserve"> (конституційність) законів України (їх окремих положень) за конституційною скаргою особи, яка вважає, що застосований в остаточному судовому рішенні в її справі закон України суперечить Конституції України.</w:t>
      </w:r>
    </w:p>
    <w:p w:rsidR="00FB4D60" w:rsidRPr="00140D5B" w:rsidRDefault="00FB4D60" w:rsidP="00FB4D60">
      <w:pPr>
        <w:pStyle w:val="rvps2"/>
        <w:shd w:val="clear" w:color="auto" w:fill="FFFFFF"/>
        <w:spacing w:after="0" w:afterAutospacing="0"/>
        <w:rPr>
          <w:rStyle w:val="rvts9"/>
          <w:color w:val="7030A0"/>
        </w:rPr>
      </w:pPr>
      <w:r w:rsidRPr="00140D5B">
        <w:rPr>
          <w:rStyle w:val="rvts9"/>
          <w:color w:val="7030A0"/>
        </w:rPr>
        <w:t xml:space="preserve">Ст. 56. </w:t>
      </w:r>
      <w:bookmarkStart w:id="3" w:name="n399"/>
      <w:bookmarkEnd w:id="3"/>
    </w:p>
    <w:p w:rsidR="00FB4D60" w:rsidRPr="00140D5B" w:rsidRDefault="00FB4D60" w:rsidP="00FB4D60">
      <w:pPr>
        <w:pStyle w:val="rvps2"/>
        <w:shd w:val="clear" w:color="auto" w:fill="FFFFFF"/>
        <w:spacing w:after="0" w:afterAutospacing="0"/>
        <w:jc w:val="both"/>
        <w:rPr>
          <w:color w:val="7030A0"/>
        </w:rPr>
      </w:pPr>
      <w:r w:rsidRPr="00140D5B">
        <w:rPr>
          <w:color w:val="7030A0"/>
        </w:rPr>
        <w:t xml:space="preserve">1.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</w:t>
      </w:r>
      <w:hyperlink r:id="rId7" w:tgtFrame="_blank" w:history="1">
        <w:r w:rsidRPr="00140D5B">
          <w:rPr>
            <w:color w:val="7030A0"/>
          </w:rPr>
          <w:t>Конституції України</w:t>
        </w:r>
      </w:hyperlink>
      <w:r w:rsidRPr="00140D5B">
        <w:rPr>
          <w:color w:val="7030A0"/>
        </w:rPr>
        <w:t xml:space="preserve">. </w:t>
      </w:r>
      <w:bookmarkStart w:id="4" w:name="n400"/>
      <w:bookmarkEnd w:id="4"/>
      <w:r w:rsidRPr="00140D5B">
        <w:rPr>
          <w:color w:val="7030A0"/>
        </w:rPr>
        <w:t>До суб’єктів права на конституційну скаргу не належать юридичні особи публічного права.</w:t>
      </w:r>
    </w:p>
    <w:p w:rsidR="00FB4D60" w:rsidRPr="00140D5B" w:rsidRDefault="00FB4D60" w:rsidP="00FB4D60">
      <w:pPr>
        <w:pStyle w:val="rvps2"/>
        <w:shd w:val="clear" w:color="auto" w:fill="FFFFFF"/>
        <w:spacing w:after="0" w:afterAutospacing="0"/>
        <w:jc w:val="both"/>
        <w:rPr>
          <w:color w:val="7030A0"/>
        </w:rPr>
      </w:pPr>
      <w:bookmarkStart w:id="5" w:name="n401"/>
      <w:bookmarkEnd w:id="5"/>
      <w:r w:rsidRPr="00140D5B">
        <w:rPr>
          <w:color w:val="7030A0"/>
        </w:rPr>
        <w:t xml:space="preserve">2. Конституційну скаргу фізична особа підписує особисто. </w:t>
      </w:r>
      <w:bookmarkStart w:id="6" w:name="n402"/>
      <w:bookmarkEnd w:id="6"/>
      <w:r w:rsidRPr="00140D5B">
        <w:rPr>
          <w:color w:val="7030A0"/>
        </w:rPr>
        <w:t>Якщо суб’єктом права на конституційну скаргу є дієздатна фізична особа, яка за станом здоров’я або фізичною вадою не в змозі особисто підписати конституційну скаргу, її підписує уповноважена в установленому законом порядку особа, що діє від її імені.</w:t>
      </w:r>
    </w:p>
    <w:p w:rsidR="00FB4D60" w:rsidRPr="00140D5B" w:rsidRDefault="00FB4D60" w:rsidP="00FB4D60">
      <w:pPr>
        <w:pStyle w:val="rvps2"/>
        <w:shd w:val="clear" w:color="auto" w:fill="FFFFFF"/>
        <w:spacing w:after="0" w:afterAutospacing="0"/>
        <w:jc w:val="both"/>
        <w:rPr>
          <w:color w:val="7030A0"/>
        </w:rPr>
      </w:pPr>
      <w:bookmarkStart w:id="7" w:name="n403"/>
      <w:bookmarkEnd w:id="7"/>
      <w:r w:rsidRPr="00140D5B">
        <w:rPr>
          <w:color w:val="7030A0"/>
        </w:rPr>
        <w:t>3. Конституційну скаргу юридичної особи підписує уповноважена на це особа, повноваження якої має бути підтверджено установчими документами цієї юридичної особи та актом про призначення (обрання) на посаду уповноваженої особи.</w:t>
      </w:r>
    </w:p>
    <w:p w:rsidR="00AE4405" w:rsidRPr="00140D5B" w:rsidRDefault="00AE4405" w:rsidP="00FB4D60">
      <w:pPr>
        <w:jc w:val="both"/>
        <w:rPr>
          <w:i/>
          <w:color w:val="7030A0"/>
        </w:rPr>
      </w:pPr>
    </w:p>
    <w:p w:rsidR="00FB4D60" w:rsidRPr="00241BB5" w:rsidRDefault="00FB4D60" w:rsidP="00FB4D60">
      <w:pPr>
        <w:jc w:val="both"/>
        <w:rPr>
          <w:i/>
          <w:color w:val="7030A0"/>
          <w:lang w:val="uk-UA"/>
        </w:rPr>
      </w:pPr>
      <w:r w:rsidRPr="00241BB5">
        <w:rPr>
          <w:i/>
          <w:color w:val="7030A0"/>
          <w:lang w:val="uk-UA"/>
        </w:rPr>
        <w:t xml:space="preserve">Висловіть свою позицію та аргументуйте у світлі правил </w:t>
      </w:r>
      <w:proofErr w:type="spellStart"/>
      <w:r w:rsidRPr="00241BB5">
        <w:rPr>
          <w:i/>
          <w:color w:val="7030A0"/>
          <w:lang w:val="uk-UA"/>
        </w:rPr>
        <w:t>нормопроектної</w:t>
      </w:r>
      <w:proofErr w:type="spellEnd"/>
      <w:r w:rsidRPr="00241BB5">
        <w:rPr>
          <w:i/>
          <w:color w:val="7030A0"/>
          <w:lang w:val="uk-UA"/>
        </w:rPr>
        <w:t xml:space="preserve"> техніки та на основі системного аналізу чинного законодавства України (норм приватного та публічного права):</w:t>
      </w:r>
    </w:p>
    <w:p w:rsidR="00FB4D60" w:rsidRPr="00140D5B" w:rsidRDefault="00FB4D60" w:rsidP="00FB4D60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140D5B">
        <w:rPr>
          <w:rFonts w:ascii="Times New Roman" w:hAnsi="Times New Roman" w:cs="Times New Roman"/>
          <w:i/>
          <w:color w:val="7030A0"/>
          <w:sz w:val="24"/>
          <w:szCs w:val="24"/>
        </w:rPr>
        <w:t>Відповідність Закону України «Про Конституційний Суд України» Конституції України на предмет права юридичної особи на конституційну скаргу.</w:t>
      </w:r>
    </w:p>
    <w:p w:rsidR="00FB4D60" w:rsidRPr="00140D5B" w:rsidRDefault="00FB4D60" w:rsidP="00FB4D60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140D5B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Законність обмеження права на конституційну скаргу юридичної особи публічного права. </w:t>
      </w:r>
    </w:p>
    <w:p w:rsidR="00FB4D60" w:rsidRPr="00140D5B" w:rsidRDefault="00FB4D60" w:rsidP="00FB4D60">
      <w:pPr>
        <w:jc w:val="both"/>
        <w:rPr>
          <w:color w:val="7030A0"/>
        </w:rPr>
      </w:pPr>
    </w:p>
    <w:p w:rsidR="00FB4D60" w:rsidRPr="00140D5B" w:rsidRDefault="00FB4D60" w:rsidP="00FB4D60">
      <w:pPr>
        <w:jc w:val="both"/>
        <w:rPr>
          <w:color w:val="7030A0"/>
        </w:rPr>
      </w:pPr>
    </w:p>
    <w:p w:rsidR="00097760" w:rsidRPr="00140D5B" w:rsidRDefault="00097760">
      <w:pPr>
        <w:rPr>
          <w:color w:val="7030A0"/>
        </w:rPr>
      </w:pPr>
    </w:p>
    <w:p w:rsidR="009A29E2" w:rsidRPr="00140D5B" w:rsidRDefault="009A29E2">
      <w:pPr>
        <w:rPr>
          <w:color w:val="7030A0"/>
        </w:rPr>
      </w:pPr>
    </w:p>
    <w:sectPr w:rsidR="009A29E2" w:rsidRPr="00140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12D15"/>
    <w:multiLevelType w:val="hybridMultilevel"/>
    <w:tmpl w:val="CD142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5282"/>
    <w:multiLevelType w:val="hybridMultilevel"/>
    <w:tmpl w:val="2B20D2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4180"/>
    <w:multiLevelType w:val="hybridMultilevel"/>
    <w:tmpl w:val="2C8071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4486A"/>
    <w:multiLevelType w:val="hybridMultilevel"/>
    <w:tmpl w:val="1A0C9E9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FC7"/>
    <w:rsid w:val="000904F4"/>
    <w:rsid w:val="00097760"/>
    <w:rsid w:val="001373DD"/>
    <w:rsid w:val="00140D5B"/>
    <w:rsid w:val="00166019"/>
    <w:rsid w:val="00241BB5"/>
    <w:rsid w:val="004C335A"/>
    <w:rsid w:val="00917417"/>
    <w:rsid w:val="009A29E2"/>
    <w:rsid w:val="00AC2FDB"/>
    <w:rsid w:val="00AE4405"/>
    <w:rsid w:val="00D00B40"/>
    <w:rsid w:val="00D52FC7"/>
    <w:rsid w:val="00DB7C7D"/>
    <w:rsid w:val="00DE7DB2"/>
    <w:rsid w:val="00E36A3C"/>
    <w:rsid w:val="00E96DCB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775B"/>
  <w15:chartTrackingRefBased/>
  <w15:docId w15:val="{47804BDB-AE6E-4E72-A010-C10BAAA5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A29E2"/>
    <w:pPr>
      <w:keepNext/>
      <w:widowControl w:val="0"/>
      <w:autoSpaceDE w:val="0"/>
      <w:autoSpaceDN w:val="0"/>
      <w:adjustRightInd w:val="0"/>
      <w:ind w:right="-40" w:firstLine="720"/>
      <w:jc w:val="both"/>
      <w:outlineLvl w:val="0"/>
    </w:pPr>
    <w:rPr>
      <w:b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77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vps2">
    <w:name w:val="rvps2"/>
    <w:basedOn w:val="a"/>
    <w:rsid w:val="004C335A"/>
    <w:pPr>
      <w:spacing w:after="100" w:afterAutospacing="1"/>
    </w:pPr>
    <w:rPr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4C335A"/>
    <w:pPr>
      <w:widowControl w:val="0"/>
      <w:autoSpaceDE w:val="0"/>
      <w:autoSpaceDN w:val="0"/>
      <w:adjustRightInd w:val="0"/>
      <w:ind w:left="5670"/>
      <w:jc w:val="both"/>
    </w:pPr>
    <w:rPr>
      <w:lang w:val="uk-UA" w:eastAsia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4C335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нак Знак1"/>
    <w:basedOn w:val="a"/>
    <w:rsid w:val="009A29E2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A29E2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9A29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A29E2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rvts9">
    <w:name w:val="rvts9"/>
    <w:basedOn w:val="a0"/>
    <w:rsid w:val="00FB4D60"/>
  </w:style>
  <w:style w:type="character" w:customStyle="1" w:styleId="rvts37">
    <w:name w:val="rvts37"/>
    <w:basedOn w:val="a0"/>
    <w:rsid w:val="00FB4D60"/>
  </w:style>
  <w:style w:type="paragraph" w:styleId="a5">
    <w:name w:val="List Paragraph"/>
    <w:basedOn w:val="a"/>
    <w:uiPriority w:val="34"/>
    <w:qFormat/>
    <w:rsid w:val="00FB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6">
    <w:name w:val="Table Grid"/>
    <w:basedOn w:val="a1"/>
    <w:rsid w:val="0016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166019"/>
  </w:style>
  <w:style w:type="character" w:styleId="a7">
    <w:name w:val="Hyperlink"/>
    <w:basedOn w:val="a0"/>
    <w:uiPriority w:val="99"/>
    <w:semiHidden/>
    <w:unhideWhenUsed/>
    <w:rsid w:val="00166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54%D0%BA/96-%D0%B2%D1%80" TargetMode="External"/><Relationship Id="rId5" Type="http://schemas.openxmlformats.org/officeDocument/2006/relationships/hyperlink" Target="https://zakon.rada.gov.ua/laws/show/5029-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4000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Yurii Nychka</cp:lastModifiedBy>
  <cp:revision>2</cp:revision>
  <dcterms:created xsi:type="dcterms:W3CDTF">2022-10-31T14:33:00Z</dcterms:created>
  <dcterms:modified xsi:type="dcterms:W3CDTF">2022-10-31T14:33:00Z</dcterms:modified>
</cp:coreProperties>
</file>