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8C" w:rsidRPr="00AD153D" w:rsidRDefault="00F1208C" w:rsidP="00F1208C">
      <w:pPr>
        <w:jc w:val="center"/>
        <w:rPr>
          <w:b/>
          <w:color w:val="auto"/>
          <w:sz w:val="22"/>
          <w:szCs w:val="22"/>
          <w:lang w:val="uk-UA"/>
        </w:rPr>
      </w:pPr>
    </w:p>
    <w:p w:rsidR="00F1208C" w:rsidRPr="00AD153D" w:rsidRDefault="00F1208C" w:rsidP="006A1BA8">
      <w:pPr>
        <w:spacing w:line="480" w:lineRule="auto"/>
        <w:jc w:val="center"/>
        <w:rPr>
          <w:b/>
          <w:color w:val="auto"/>
          <w:sz w:val="22"/>
          <w:szCs w:val="22"/>
          <w:lang w:val="uk-UA"/>
        </w:rPr>
      </w:pPr>
      <w:r w:rsidRPr="00AD153D">
        <w:rPr>
          <w:b/>
          <w:color w:val="auto"/>
          <w:sz w:val="22"/>
          <w:szCs w:val="22"/>
          <w:lang w:val="uk-UA"/>
        </w:rPr>
        <w:t>Силабус</w:t>
      </w:r>
      <w:r w:rsidR="006A1BA8" w:rsidRPr="00AD153D">
        <w:rPr>
          <w:b/>
          <w:color w:val="auto"/>
          <w:sz w:val="22"/>
          <w:szCs w:val="22"/>
          <w:lang w:val="uk-UA"/>
        </w:rPr>
        <w:t xml:space="preserve"> </w:t>
      </w:r>
      <w:r w:rsidRPr="00AD153D">
        <w:rPr>
          <w:b/>
          <w:color w:val="auto"/>
          <w:sz w:val="22"/>
          <w:szCs w:val="22"/>
          <w:lang w:val="uk-UA"/>
        </w:rPr>
        <w:t>курсу</w:t>
      </w:r>
      <w:r w:rsidR="006A1BA8" w:rsidRPr="00AD153D">
        <w:rPr>
          <w:b/>
          <w:color w:val="auto"/>
          <w:sz w:val="22"/>
          <w:szCs w:val="22"/>
          <w:lang w:val="uk-UA"/>
        </w:rPr>
        <w:t xml:space="preserve"> «</w:t>
      </w:r>
      <w:r w:rsidR="0066585F" w:rsidRPr="00AD153D">
        <w:rPr>
          <w:b/>
          <w:color w:val="auto"/>
          <w:sz w:val="22"/>
          <w:szCs w:val="22"/>
          <w:lang w:val="uk-UA"/>
        </w:rPr>
        <w:t>судова медицина</w:t>
      </w:r>
      <w:r w:rsidR="006A1BA8" w:rsidRPr="00AD153D">
        <w:rPr>
          <w:b/>
          <w:color w:val="auto"/>
          <w:sz w:val="22"/>
          <w:szCs w:val="22"/>
          <w:lang w:val="uk-UA"/>
        </w:rPr>
        <w:t xml:space="preserve">» 2019/2020 </w:t>
      </w:r>
      <w:r w:rsidRPr="00AD153D">
        <w:rPr>
          <w:b/>
          <w:color w:val="auto"/>
          <w:sz w:val="22"/>
          <w:szCs w:val="22"/>
          <w:lang w:val="uk-UA"/>
        </w:rPr>
        <w:t xml:space="preserve"> навчального року</w:t>
      </w:r>
    </w:p>
    <w:p w:rsidR="00F1208C" w:rsidRPr="00AD153D" w:rsidRDefault="00F1208C" w:rsidP="00F1208C">
      <w:pPr>
        <w:jc w:val="center"/>
        <w:rPr>
          <w:b/>
          <w:color w:val="auto"/>
          <w:sz w:val="22"/>
          <w:szCs w:val="22"/>
          <w:lang w:val="uk-UA"/>
        </w:rPr>
      </w:pPr>
    </w:p>
    <w:p w:rsidR="00F1208C" w:rsidRPr="00AD153D" w:rsidRDefault="006A1BA8" w:rsidP="006A1BA8">
      <w:pPr>
        <w:tabs>
          <w:tab w:val="left" w:pos="6859"/>
        </w:tabs>
        <w:rPr>
          <w:color w:val="auto"/>
          <w:sz w:val="22"/>
          <w:szCs w:val="22"/>
          <w:lang w:val="uk-UA"/>
        </w:rPr>
      </w:pPr>
      <w:r w:rsidRPr="00AD153D">
        <w:rPr>
          <w:color w:val="auto"/>
          <w:sz w:val="22"/>
          <w:szCs w:val="22"/>
          <w:lang w:val="uk-UA"/>
        </w:rPr>
        <w:tab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66585F" w:rsidRPr="00AD153D">
              <w:rPr>
                <w:color w:val="auto"/>
                <w:sz w:val="22"/>
                <w:szCs w:val="22"/>
                <w:lang w:val="uk-UA"/>
              </w:rPr>
              <w:t>Судова медицина</w:t>
            </w: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48" w:rsidRPr="00AD153D" w:rsidRDefault="00997348" w:rsidP="00997348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кафедра кримінального процесу та криміналістики</w:t>
            </w:r>
          </w:p>
          <w:p w:rsidR="00997348" w:rsidRPr="00AD153D" w:rsidRDefault="00997348" w:rsidP="00997348">
            <w:pPr>
              <w:rPr>
                <w:color w:val="333333"/>
                <w:sz w:val="22"/>
                <w:szCs w:val="22"/>
                <w:lang w:val="uk-UA" w:eastAsia="uk-UA"/>
              </w:rPr>
            </w:pPr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Адреса:</w:t>
            </w:r>
            <w:r w:rsidRPr="00AD153D">
              <w:rPr>
                <w:color w:val="333333"/>
                <w:sz w:val="22"/>
                <w:szCs w:val="22"/>
                <w:lang w:eastAsia="uk-UA"/>
              </w:rPr>
              <w:t> 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вул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.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Січових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Стрільців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14,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кім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. 509, м.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Львів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79000,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Україна</w:t>
            </w:r>
            <w:proofErr w:type="spellEnd"/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48" w:rsidRPr="00AD153D" w:rsidRDefault="0066585F" w:rsidP="00997348">
            <w:pPr>
              <w:rPr>
                <w:color w:val="333333"/>
                <w:sz w:val="22"/>
                <w:szCs w:val="22"/>
                <w:lang w:val="ru-RU" w:eastAsia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Юридичний факульте</w:t>
            </w:r>
            <w:r w:rsidR="00997348" w:rsidRPr="00AD153D">
              <w:rPr>
                <w:color w:val="auto"/>
                <w:sz w:val="22"/>
                <w:szCs w:val="22"/>
                <w:lang w:val="uk-UA"/>
              </w:rPr>
              <w:t>т:</w:t>
            </w:r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Адреса:</w:t>
            </w:r>
            <w:r w:rsidR="00997348" w:rsidRPr="00AD153D">
              <w:rPr>
                <w:color w:val="333333"/>
                <w:sz w:val="22"/>
                <w:szCs w:val="22"/>
                <w:lang w:eastAsia="uk-UA"/>
              </w:rPr>
              <w:t> </w:t>
            </w:r>
            <w:proofErr w:type="spellStart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вул</w:t>
            </w:r>
            <w:proofErr w:type="spellEnd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. </w:t>
            </w:r>
            <w:proofErr w:type="spellStart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Січових</w:t>
            </w:r>
            <w:proofErr w:type="spellEnd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Стрільців</w:t>
            </w:r>
            <w:proofErr w:type="spellEnd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14, м. </w:t>
            </w:r>
            <w:proofErr w:type="spellStart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Львів</w:t>
            </w:r>
            <w:proofErr w:type="spellEnd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</w:t>
            </w:r>
          </w:p>
          <w:p w:rsidR="00997348" w:rsidRPr="00E34BC9" w:rsidRDefault="00997348" w:rsidP="00997348">
            <w:pPr>
              <w:rPr>
                <w:color w:val="auto"/>
                <w:sz w:val="22"/>
                <w:szCs w:val="22"/>
                <w:lang w:val="ru-RU" w:eastAsia="uk-UA"/>
              </w:rPr>
            </w:pPr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eastAsia="uk-UA"/>
              </w:rPr>
              <w:t>E</w:t>
            </w:r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-</w:t>
            </w:r>
            <w:r w:rsidRPr="00E34BC9">
              <w:rPr>
                <w:color w:val="auto"/>
                <w:sz w:val="22"/>
                <w:szCs w:val="22"/>
                <w:bdr w:val="none" w:sz="0" w:space="0" w:color="auto" w:frame="1"/>
                <w:lang w:eastAsia="uk-UA"/>
              </w:rPr>
              <w:t>mail</w:t>
            </w:r>
            <w:r w:rsidRPr="00E34BC9">
              <w:rPr>
                <w:color w:val="auto"/>
                <w:sz w:val="22"/>
                <w:szCs w:val="22"/>
                <w:bdr w:val="none" w:sz="0" w:space="0" w:color="auto" w:frame="1"/>
                <w:lang w:val="ru-RU" w:eastAsia="uk-UA"/>
              </w:rPr>
              <w:t>:</w:t>
            </w:r>
            <w:r w:rsidRPr="00E34BC9">
              <w:rPr>
                <w:color w:val="auto"/>
                <w:sz w:val="22"/>
                <w:szCs w:val="22"/>
                <w:lang w:eastAsia="uk-UA"/>
              </w:rPr>
              <w:t> </w:t>
            </w:r>
            <w:hyperlink r:id="rId7" w:history="1"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law</w:t>
              </w:r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faculty</w:t>
              </w:r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@</w:t>
              </w:r>
              <w:proofErr w:type="spellStart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lnu</w:t>
              </w:r>
              <w:proofErr w:type="spellEnd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proofErr w:type="spellStart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edu</w:t>
              </w:r>
              <w:proofErr w:type="spellEnd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ua</w:t>
              </w:r>
            </w:hyperlink>
          </w:p>
          <w:p w:rsidR="00997348" w:rsidRPr="00E34BC9" w:rsidRDefault="00997348" w:rsidP="00997348">
            <w:pPr>
              <w:rPr>
                <w:color w:val="auto"/>
                <w:sz w:val="22"/>
                <w:szCs w:val="22"/>
                <w:lang w:val="ru-RU" w:eastAsia="uk-UA"/>
              </w:rPr>
            </w:pPr>
            <w:r w:rsidRPr="00E34BC9">
              <w:rPr>
                <w:color w:val="auto"/>
                <w:sz w:val="22"/>
                <w:szCs w:val="22"/>
                <w:bdr w:val="none" w:sz="0" w:space="0" w:color="auto" w:frame="1"/>
                <w:lang w:val="ru-RU" w:eastAsia="uk-UA"/>
              </w:rPr>
              <w:t>Сайт:</w:t>
            </w:r>
            <w:r w:rsidRPr="00E34BC9">
              <w:rPr>
                <w:color w:val="auto"/>
                <w:sz w:val="22"/>
                <w:szCs w:val="22"/>
                <w:lang w:eastAsia="uk-UA"/>
              </w:rPr>
              <w:t> </w:t>
            </w:r>
            <w:hyperlink r:id="rId8" w:tgtFrame="_blank" w:history="1"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law</w:t>
              </w:r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proofErr w:type="spellStart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lnu</w:t>
              </w:r>
              <w:proofErr w:type="spellEnd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proofErr w:type="spellStart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edu</w:t>
              </w:r>
              <w:proofErr w:type="spellEnd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ua</w:t>
              </w:r>
            </w:hyperlink>
          </w:p>
          <w:p w:rsidR="00F1208C" w:rsidRPr="00AD153D" w:rsidRDefault="0066585F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 кафедра кримінального процесу та криміналістики</w:t>
            </w:r>
          </w:p>
          <w:p w:rsidR="00997348" w:rsidRPr="00AD153D" w:rsidRDefault="00997348" w:rsidP="00997348">
            <w:pPr>
              <w:rPr>
                <w:color w:val="333333"/>
                <w:sz w:val="22"/>
                <w:szCs w:val="22"/>
                <w:lang w:val="uk-UA" w:eastAsia="uk-UA"/>
              </w:rPr>
            </w:pPr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Адреса:</w:t>
            </w:r>
            <w:r w:rsidRPr="00AD153D">
              <w:rPr>
                <w:color w:val="333333"/>
                <w:sz w:val="22"/>
                <w:szCs w:val="22"/>
                <w:lang w:eastAsia="uk-UA"/>
              </w:rPr>
              <w:t> 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вул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.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Січових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Стрільців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14,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кім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. 509, м.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Львів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79000,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Україна</w:t>
            </w:r>
            <w:proofErr w:type="spellEnd"/>
          </w:p>
          <w:p w:rsidR="00997348" w:rsidRPr="00AD153D" w:rsidRDefault="004D0E7A" w:rsidP="004D0E7A">
            <w:pPr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eastAsia="uk-UA"/>
              </w:rPr>
              <w:t>http</w:t>
            </w:r>
            <w:r w:rsidR="00997348" w:rsidRPr="00E34BC9">
              <w:rPr>
                <w:color w:val="auto"/>
                <w:sz w:val="22"/>
                <w:szCs w:val="22"/>
                <w:bdr w:val="none" w:sz="0" w:space="0" w:color="auto" w:frame="1"/>
                <w:lang w:val="uk-UA" w:eastAsia="uk-UA"/>
              </w:rPr>
              <w:t>:</w:t>
            </w:r>
            <w:r w:rsidR="00997348" w:rsidRPr="00E34BC9">
              <w:rPr>
                <w:color w:val="auto"/>
                <w:sz w:val="22"/>
                <w:szCs w:val="22"/>
                <w:lang w:eastAsia="uk-UA"/>
              </w:rPr>
              <w:t> </w:t>
            </w:r>
            <w:hyperlink r:id="rId9" w:tgtFrame="_blank" w:history="1"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law</w:t>
              </w:r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proofErr w:type="spellStart"/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lnu</w:t>
              </w:r>
              <w:proofErr w:type="spellEnd"/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proofErr w:type="spellStart"/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edu</w:t>
              </w:r>
              <w:proofErr w:type="spellEnd"/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ua</w:t>
              </w:r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/</w:t>
              </w:r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employee</w:t>
              </w:r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/</w:t>
              </w:r>
              <w:proofErr w:type="spellStart"/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najda</w:t>
              </w:r>
              <w:proofErr w:type="spellEnd"/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-</w:t>
              </w:r>
              <w:proofErr w:type="spellStart"/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anatolij</w:t>
              </w:r>
              <w:proofErr w:type="spellEnd"/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-</w:t>
              </w:r>
              <w:proofErr w:type="spellStart"/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iivanovych</w:t>
              </w:r>
              <w:proofErr w:type="spellEnd"/>
            </w:hyperlink>
          </w:p>
        </w:tc>
      </w:tr>
      <w:tr w:rsidR="00F1208C" w:rsidRPr="00DC6FB3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B3" w:rsidRPr="00AD153D" w:rsidRDefault="007A29D2" w:rsidP="00DC6F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Галузь 08 прав</w:t>
            </w:r>
            <w:r w:rsidR="004D0E7A" w:rsidRPr="00AD153D">
              <w:rPr>
                <w:color w:val="auto"/>
                <w:sz w:val="22"/>
                <w:szCs w:val="22"/>
                <w:lang w:val="uk-UA"/>
              </w:rPr>
              <w:t>о</w:t>
            </w:r>
            <w:r w:rsidR="00DC6FB3" w:rsidRPr="00DC6FB3">
              <w:rPr>
                <w:color w:val="auto"/>
                <w:sz w:val="22"/>
                <w:szCs w:val="22"/>
                <w:lang w:val="ru-RU"/>
              </w:rPr>
              <w:t>.</w:t>
            </w:r>
            <w:r w:rsidR="00DC6FB3" w:rsidRPr="00AD153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DC6FB3">
              <w:rPr>
                <w:color w:val="auto"/>
                <w:sz w:val="22"/>
                <w:szCs w:val="22"/>
                <w:lang w:val="uk-UA"/>
              </w:rPr>
              <w:t>Спеціальність  081 право</w:t>
            </w:r>
            <w:r w:rsidR="00DC6FB3">
              <w:rPr>
                <w:color w:val="auto"/>
                <w:sz w:val="22"/>
                <w:szCs w:val="22"/>
              </w:rPr>
              <w:t>.</w:t>
            </w:r>
            <w:r w:rsidR="00DC6FB3" w:rsidRPr="00AD153D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4D0E7A" w:rsidRPr="00AD153D" w:rsidRDefault="004D0E7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DC6FB3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Викладач</w:t>
            </w:r>
            <w:r w:rsidR="00F1208C" w:rsidRPr="00AD153D">
              <w:rPr>
                <w:b/>
                <w:color w:val="auto"/>
                <w:sz w:val="22"/>
                <w:szCs w:val="22"/>
                <w:lang w:val="uk-UA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66585F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Найда А.І.. кандидат медичних наук, доцент</w:t>
            </w: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7A" w:rsidRPr="00E34BC9" w:rsidRDefault="00B9542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hyperlink r:id="rId10" w:history="1">
              <w:r w:rsidR="004D0E7A" w:rsidRPr="00E34BC9">
                <w:rPr>
                  <w:rStyle w:val="a6"/>
                  <w:color w:val="auto"/>
                  <w:sz w:val="22"/>
                  <w:szCs w:val="22"/>
                </w:rPr>
                <w:t>najda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lang w:val="uk-UA"/>
                </w:rPr>
                <w:t>1945@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</w:rPr>
                <w:t>gmail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lang w:val="uk-UA"/>
                </w:rPr>
                <w:t>.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</w:rPr>
                <w:t>com</w:t>
              </w:r>
            </w:hyperlink>
            <w:r w:rsidR="0066585F" w:rsidRPr="00E34BC9">
              <w:rPr>
                <w:color w:val="auto"/>
                <w:sz w:val="22"/>
                <w:szCs w:val="22"/>
                <w:lang w:val="uk-UA"/>
              </w:rPr>
              <w:t>;</w:t>
            </w:r>
            <w:r w:rsidR="004D0E7A" w:rsidRPr="00E34BC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D0E7A" w:rsidRPr="00AD153D">
              <w:rPr>
                <w:color w:val="333333"/>
                <w:sz w:val="22"/>
                <w:szCs w:val="22"/>
                <w:bdr w:val="none" w:sz="0" w:space="0" w:color="auto" w:frame="1"/>
                <w:lang w:eastAsia="uk-UA"/>
              </w:rPr>
              <w:t>http</w:t>
            </w:r>
            <w:r w:rsidR="004D0E7A" w:rsidRPr="00AD153D">
              <w:rPr>
                <w:color w:val="333333"/>
                <w:sz w:val="22"/>
                <w:szCs w:val="22"/>
                <w:bdr w:val="none" w:sz="0" w:space="0" w:color="auto" w:frame="1"/>
                <w:lang w:val="uk-UA" w:eastAsia="uk-UA"/>
              </w:rPr>
              <w:t>:</w:t>
            </w:r>
            <w:r w:rsidR="004D0E7A" w:rsidRPr="00AD153D">
              <w:rPr>
                <w:color w:val="333333"/>
                <w:sz w:val="22"/>
                <w:szCs w:val="22"/>
                <w:lang w:eastAsia="uk-UA"/>
              </w:rPr>
              <w:t> </w:t>
            </w:r>
            <w:hyperlink r:id="rId11" w:tgtFrame="_blank" w:history="1"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law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proofErr w:type="spellStart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lnu</w:t>
              </w:r>
              <w:proofErr w:type="spellEnd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proofErr w:type="spellStart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edu</w:t>
              </w:r>
              <w:proofErr w:type="spellEnd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ua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/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employee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/</w:t>
              </w:r>
              <w:proofErr w:type="spellStart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najda</w:t>
              </w:r>
              <w:proofErr w:type="spellEnd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-</w:t>
              </w:r>
              <w:proofErr w:type="spellStart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anatolij</w:t>
              </w:r>
              <w:proofErr w:type="spellEnd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-</w:t>
              </w:r>
              <w:proofErr w:type="spellStart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iivanovych</w:t>
              </w:r>
              <w:proofErr w:type="spellEnd"/>
            </w:hyperlink>
          </w:p>
          <w:p w:rsidR="00F1208C" w:rsidRPr="00AD153D" w:rsidRDefault="004D0E7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E34BC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4BC9">
              <w:rPr>
                <w:color w:val="auto"/>
                <w:sz w:val="22"/>
                <w:szCs w:val="22"/>
              </w:rPr>
              <w:t>anatoliy</w:t>
            </w:r>
            <w:proofErr w:type="spellEnd"/>
            <w:r w:rsidRPr="00E34BC9">
              <w:rPr>
                <w:color w:val="auto"/>
                <w:sz w:val="22"/>
                <w:szCs w:val="22"/>
                <w:lang w:val="uk-UA"/>
              </w:rPr>
              <w:t>.</w:t>
            </w:r>
            <w:proofErr w:type="spellStart"/>
            <w:r w:rsidRPr="00E34BC9">
              <w:rPr>
                <w:color w:val="auto"/>
                <w:sz w:val="22"/>
                <w:szCs w:val="22"/>
              </w:rPr>
              <w:t>nayda</w:t>
            </w:r>
            <w:proofErr w:type="spellEnd"/>
            <w:r w:rsidRPr="00E34BC9">
              <w:rPr>
                <w:color w:val="auto"/>
                <w:sz w:val="22"/>
                <w:szCs w:val="22"/>
                <w:lang w:val="uk-UA"/>
              </w:rPr>
              <w:t>@</w:t>
            </w:r>
            <w:proofErr w:type="spellStart"/>
            <w:r w:rsidRPr="00E34BC9">
              <w:rPr>
                <w:color w:val="auto"/>
                <w:sz w:val="22"/>
                <w:szCs w:val="22"/>
              </w:rPr>
              <w:t>lnu</w:t>
            </w:r>
            <w:proofErr w:type="spellEnd"/>
            <w:r w:rsidRPr="00E34BC9">
              <w:rPr>
                <w:color w:val="auto"/>
                <w:sz w:val="22"/>
                <w:szCs w:val="22"/>
                <w:lang w:val="uk-UA"/>
              </w:rPr>
              <w:t>.</w:t>
            </w:r>
            <w:proofErr w:type="spellStart"/>
            <w:r w:rsidRPr="00E34BC9">
              <w:rPr>
                <w:color w:val="auto"/>
                <w:sz w:val="22"/>
                <w:szCs w:val="22"/>
              </w:rPr>
              <w:t>edu</w:t>
            </w:r>
            <w:proofErr w:type="spellEnd"/>
            <w:r w:rsidRPr="00E34BC9">
              <w:rPr>
                <w:color w:val="auto"/>
                <w:sz w:val="22"/>
                <w:szCs w:val="22"/>
                <w:lang w:val="uk-UA"/>
              </w:rPr>
              <w:t>.</w:t>
            </w:r>
            <w:r w:rsidRPr="00E34BC9">
              <w:rPr>
                <w:color w:val="auto"/>
                <w:sz w:val="22"/>
                <w:szCs w:val="22"/>
              </w:rPr>
              <w:t>ua</w:t>
            </w: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6A1BA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Консультації в день проведення лекцій</w:t>
            </w:r>
            <w:r w:rsidR="006A1BA8" w:rsidRPr="00AD153D">
              <w:rPr>
                <w:color w:val="auto"/>
                <w:sz w:val="22"/>
                <w:szCs w:val="22"/>
                <w:lang w:val="uk-UA"/>
              </w:rPr>
              <w:t xml:space="preserve"> або </w:t>
            </w:r>
            <w:r w:rsidRPr="00AD153D">
              <w:rPr>
                <w:color w:val="auto"/>
                <w:sz w:val="22"/>
                <w:szCs w:val="22"/>
                <w:lang w:val="uk-UA"/>
              </w:rPr>
              <w:t>практичних занять (за попередньою домовленістю). Для погодження часу он-лайн консультацій слід писати на електронну пошту викладача або дзвонити.</w:t>
            </w: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D153D">
              <w:rPr>
                <w:b/>
                <w:sz w:val="22"/>
                <w:szCs w:val="22"/>
              </w:rPr>
              <w:t>Сторінка</w:t>
            </w:r>
            <w:proofErr w:type="spellEnd"/>
            <w:r w:rsidRPr="00AD15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153D">
              <w:rPr>
                <w:b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1C632F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Курс розроблено таким чином, щоб на</w:t>
            </w:r>
            <w:r w:rsidR="001C632F">
              <w:rPr>
                <w:color w:val="auto"/>
                <w:sz w:val="22"/>
                <w:szCs w:val="22"/>
                <w:lang w:val="uk-UA"/>
              </w:rPr>
              <w:t>дати учасникам необхідні знання.</w:t>
            </w: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AD153D" w:rsidP="001C632F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Дисципліна «судова медицина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>» є вибірков</w:t>
            </w:r>
            <w:r w:rsidR="00E34BC9">
              <w:rPr>
                <w:color w:val="auto"/>
                <w:sz w:val="22"/>
                <w:szCs w:val="22"/>
                <w:lang w:val="uk-UA"/>
              </w:rPr>
              <w:t>ою дисципліною з спеціальності  правознавства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 </w:t>
            </w:r>
            <w:proofErr w:type="spellStart"/>
            <w:r w:rsidR="001C632F" w:rsidRPr="001C632F">
              <w:rPr>
                <w:color w:val="auto"/>
                <w:sz w:val="22"/>
                <w:szCs w:val="22"/>
                <w:lang w:val="ru-RU"/>
              </w:rPr>
              <w:t>правознавство</w:t>
            </w:r>
            <w:proofErr w:type="spellEnd"/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E34BC9">
              <w:rPr>
                <w:color w:val="auto"/>
                <w:sz w:val="22"/>
                <w:szCs w:val="22"/>
                <w:lang w:val="uk-UA"/>
              </w:rPr>
              <w:t xml:space="preserve">7 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1C632F" w:rsidRPr="001C632F">
              <w:rPr>
                <w:color w:val="auto"/>
                <w:sz w:val="22"/>
                <w:szCs w:val="22"/>
                <w:lang w:val="ru-RU"/>
              </w:rPr>
              <w:t xml:space="preserve">3 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6" w:rsidRPr="00AD153D" w:rsidRDefault="00F1208C" w:rsidP="001C632F">
            <w:pPr>
              <w:pStyle w:val="a4"/>
              <w:widowControl w:val="0"/>
              <w:ind w:left="0"/>
              <w:jc w:val="both"/>
              <w:rPr>
                <w:color w:val="auto"/>
                <w:sz w:val="22"/>
                <w:szCs w:val="22"/>
                <w:lang w:val="uk-UA" w:eastAsia="ru-RU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Метою вивчення вибіркової дисципліни «</w:t>
            </w:r>
            <w:r w:rsidR="00EB0776" w:rsidRPr="00AD153D">
              <w:rPr>
                <w:color w:val="auto"/>
                <w:sz w:val="22"/>
                <w:szCs w:val="22"/>
                <w:lang w:val="uk-UA"/>
              </w:rPr>
              <w:t>судової медицини</w:t>
            </w:r>
            <w:r w:rsidRPr="00AD153D">
              <w:rPr>
                <w:color w:val="auto"/>
                <w:sz w:val="22"/>
                <w:szCs w:val="22"/>
                <w:lang w:val="uk-UA"/>
              </w:rPr>
              <w:t xml:space="preserve">» </w:t>
            </w:r>
            <w:r w:rsidR="00EB0776" w:rsidRPr="00AD153D">
              <w:rPr>
                <w:color w:val="auto"/>
                <w:sz w:val="22"/>
                <w:szCs w:val="22"/>
                <w:lang w:val="uk-UA" w:eastAsia="ru-RU"/>
              </w:rPr>
              <w:t xml:space="preserve"> забезпечити студентів юридичного факультету теоретичними знаннями та вміннями для кваліфікованого виконання ними попереднього розслідування, досудового слідства чи інших слідчих дій. Навчити правильно призначати судово–медичні експертизи, формулювати запитання судово–медичним експертами у межах їх компетенції, а </w:t>
            </w:r>
            <w:r w:rsidR="00EB0776" w:rsidRPr="00AD153D">
              <w:rPr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="00EB0776" w:rsidRPr="00AD153D">
              <w:rPr>
                <w:color w:val="auto"/>
                <w:sz w:val="22"/>
                <w:szCs w:val="22"/>
                <w:lang w:val="uk-UA" w:eastAsia="ru-RU"/>
              </w:rPr>
              <w:t xml:space="preserve">також критично оцінювати достовірність і повноту підсумків експертиз.  </w:t>
            </w:r>
          </w:p>
          <w:p w:rsidR="00EB0776" w:rsidRPr="00AD153D" w:rsidRDefault="00F1208C" w:rsidP="00EB0776">
            <w:pPr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EB0776" w:rsidRPr="00AD153D">
              <w:rPr>
                <w:sz w:val="22"/>
                <w:szCs w:val="22"/>
                <w:lang w:val="uk-UA"/>
              </w:rPr>
              <w:t>Кримінальне та цивільне судочинство передбачає про</w:t>
            </w:r>
            <w:r w:rsidR="00EB0776" w:rsidRPr="00AD153D">
              <w:rPr>
                <w:sz w:val="22"/>
                <w:szCs w:val="22"/>
                <w:lang w:val="uk-UA"/>
              </w:rPr>
              <w:softHyphen/>
              <w:t xml:space="preserve">цесуальну діяльність слідчих та судових органів, зокрема виконання експертиз для </w:t>
            </w:r>
            <w:proofErr w:type="spellStart"/>
            <w:r w:rsidR="00EB0776" w:rsidRPr="00AD153D">
              <w:rPr>
                <w:sz w:val="22"/>
                <w:szCs w:val="22"/>
                <w:lang w:val="uk-UA"/>
              </w:rPr>
              <w:t>з”ясування</w:t>
            </w:r>
            <w:proofErr w:type="spellEnd"/>
            <w:r w:rsidR="00EB0776" w:rsidRPr="00AD153D">
              <w:rPr>
                <w:sz w:val="22"/>
                <w:szCs w:val="22"/>
                <w:lang w:val="uk-UA"/>
              </w:rPr>
              <w:t xml:space="preserve"> питань, з яких потрібні наукові, технічні та спеціальні знання.  Судова медицина одна з таких наук. </w:t>
            </w:r>
          </w:p>
          <w:p w:rsidR="00EB0776" w:rsidRPr="00AD153D" w:rsidRDefault="00EB0776" w:rsidP="001C632F">
            <w:pPr>
              <w:pStyle w:val="Text1"/>
              <w:widowControl w:val="0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Судова медицина це наука, яка вивчає й опрацьовує питання медичного характеру стосовно  правосуддя та охорони здоров’я. ЇЇ практичними виконавцями є судово-медичні експертні заклади, діяльність яких регламентують закони нашої держави: “Основи законодавства України про охорону здоров’я” (1992), “Про судову експер</w:t>
            </w: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softHyphen/>
              <w:t xml:space="preserve">тизу” (1994), Кримінальний та Кримінально-процесуальний кодекси України, наказ №6 Міністерства охорони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здоров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>’</w:t>
            </w: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я України “Про розвиток та вдосконалення судово-медичної служби України” (1995).</w:t>
            </w:r>
          </w:p>
          <w:p w:rsidR="00EB0776" w:rsidRPr="00AD153D" w:rsidRDefault="00EB0776" w:rsidP="00EB0776">
            <w:pPr>
              <w:pStyle w:val="Text1"/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3D" w:rsidRPr="00AD153D" w:rsidRDefault="00F1208C" w:rsidP="00AD153D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="00AD153D" w:rsidRPr="00AD153D">
              <w:rPr>
                <w:b/>
                <w:bCs/>
                <w:spacing w:val="-6"/>
                <w:sz w:val="22"/>
                <w:szCs w:val="22"/>
                <w:lang w:val="uk-UA"/>
              </w:rPr>
              <w:t>Базова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53D">
              <w:rPr>
                <w:rFonts w:ascii="Times New Roman" w:hAnsi="Times New Roman"/>
                <w:sz w:val="22"/>
                <w:szCs w:val="22"/>
              </w:rPr>
              <w:t>Герасименко О.І. Судова медична експертиза (загальна частина). Донецьк: Нора-Прес, 2007. – 508 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Білецький Є.Г., Білецька Г.А. Судова медицина та судова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психіатрия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. Навчальний посібник. – Х., Одіссей, 2008. – 200с.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D153D">
              <w:rPr>
                <w:sz w:val="22"/>
                <w:szCs w:val="22"/>
                <w:lang w:val="uk-UA"/>
              </w:rPr>
              <w:t>Завальнюк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А.Х. Судова медицина: Курс лекцій. – Тернопіль: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Укрмедкнига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, 2000.– 648 с.</w:t>
            </w:r>
          </w:p>
          <w:p w:rsidR="00AD153D" w:rsidRPr="00AD153D" w:rsidRDefault="00AD153D" w:rsidP="00AD153D">
            <w:pPr>
              <w:pStyle w:val="Numeric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5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</w:p>
          <w:p w:rsid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Найда А.І. Судова медицина. Матеріали програмованого навчання студентів юридичного факультету та слухачів правничих спеціальностей. Львів: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Євросвіт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2000. – 156 с.</w:t>
            </w:r>
          </w:p>
          <w:p w:rsidR="00F63F43" w:rsidRPr="00D7785B" w:rsidRDefault="00F63F43" w:rsidP="00F63F4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D7785B">
              <w:rPr>
                <w:szCs w:val="28"/>
                <w:lang w:val="uk-UA"/>
              </w:rPr>
              <w:t xml:space="preserve">Судова медицина:  [комплексний </w:t>
            </w:r>
            <w:proofErr w:type="spellStart"/>
            <w:r w:rsidRPr="00D7785B">
              <w:rPr>
                <w:szCs w:val="28"/>
                <w:lang w:val="uk-UA"/>
              </w:rPr>
              <w:t>навч</w:t>
            </w:r>
            <w:proofErr w:type="spellEnd"/>
            <w:r w:rsidRPr="00D7785B">
              <w:rPr>
                <w:szCs w:val="28"/>
                <w:lang w:val="uk-UA"/>
              </w:rPr>
              <w:t xml:space="preserve">. </w:t>
            </w:r>
            <w:proofErr w:type="spellStart"/>
            <w:r w:rsidRPr="00D7785B">
              <w:rPr>
                <w:szCs w:val="28"/>
                <w:lang w:val="uk-UA"/>
              </w:rPr>
              <w:t>посіб</w:t>
            </w:r>
            <w:proofErr w:type="spellEnd"/>
            <w:r w:rsidRPr="00D7785B">
              <w:rPr>
                <w:szCs w:val="28"/>
                <w:lang w:val="uk-UA"/>
              </w:rPr>
              <w:t xml:space="preserve">.] / А.І Найда, </w:t>
            </w:r>
            <w:proofErr w:type="spellStart"/>
            <w:r w:rsidRPr="00D7785B">
              <w:rPr>
                <w:szCs w:val="28"/>
                <w:lang w:val="uk-UA"/>
              </w:rPr>
              <w:t>О.Р.Малик</w:t>
            </w:r>
            <w:proofErr w:type="spellEnd"/>
            <w:r w:rsidRPr="00D7785B">
              <w:rPr>
                <w:szCs w:val="28"/>
                <w:lang w:val="uk-UA"/>
              </w:rPr>
              <w:t>; за ред. В.Т. Нора. – К.; Атіка, 2012. – 272 с.</w:t>
            </w:r>
          </w:p>
          <w:p w:rsidR="00F63F43" w:rsidRPr="00AD153D" w:rsidRDefault="00F63F43" w:rsidP="00F63F43">
            <w:pPr>
              <w:widowControl w:val="0"/>
              <w:ind w:left="397"/>
              <w:jc w:val="both"/>
              <w:rPr>
                <w:sz w:val="22"/>
                <w:szCs w:val="22"/>
                <w:lang w:val="uk-UA"/>
              </w:rPr>
            </w:pPr>
          </w:p>
          <w:p w:rsidR="00AD153D" w:rsidRPr="00AD153D" w:rsidRDefault="00AD153D" w:rsidP="00AD153D">
            <w:pPr>
              <w:pStyle w:val="4"/>
              <w:keepNext w:val="0"/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  <w:p w:rsidR="00AD153D" w:rsidRPr="00AD153D" w:rsidRDefault="00AD153D" w:rsidP="00AD153D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AD153D">
              <w:rPr>
                <w:b/>
                <w:bCs/>
                <w:spacing w:val="-6"/>
                <w:sz w:val="22"/>
                <w:szCs w:val="22"/>
                <w:lang w:val="uk-UA"/>
              </w:rPr>
              <w:t>Допоміжна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53D">
              <w:rPr>
                <w:rFonts w:ascii="Times New Roman" w:hAnsi="Times New Roman"/>
                <w:sz w:val="22"/>
                <w:szCs w:val="22"/>
              </w:rPr>
              <w:t xml:space="preserve">Глушков В. А.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Ответственность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преступления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облас</w:t>
            </w:r>
            <w:r w:rsidRPr="00AD153D">
              <w:rPr>
                <w:rFonts w:ascii="Times New Roman" w:hAnsi="Times New Roman"/>
                <w:sz w:val="22"/>
                <w:szCs w:val="22"/>
              </w:rPr>
              <w:softHyphen/>
              <w:t>ти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здравоохранения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>. //К.: “Вища школа”. 1987, –200 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D153D">
              <w:rPr>
                <w:sz w:val="22"/>
                <w:szCs w:val="22"/>
                <w:lang w:val="uk-UA"/>
              </w:rPr>
              <w:t>Завальнюк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А.Х. Тлумачний словник судово–медичних термінів. – Тернопіль: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Укрмедкнига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, 1999. – 352 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Каткова Т.Е., Кожевников.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Судебные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экспертизы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/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Основания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процессуальный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порядок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назначения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производства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примерный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перечень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вопросов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/: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Учебное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пособие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.  – X.: Рубікон, 2000. – 192 с.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Малеин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М.Н.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и медицина в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современном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праве.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Учебное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практическое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пособие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. // М.: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>-во БЕК, 1995, – 272 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D153D">
              <w:rPr>
                <w:sz w:val="22"/>
                <w:szCs w:val="22"/>
                <w:lang w:val="uk-UA"/>
              </w:rPr>
              <w:t>Мішалов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В.Д.,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Алексін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Г.Б.,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Сулоєв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К.М.,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Дунаєв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О.Б. Епоніми судово-медичних ознак, проб, методів, класифікацій: Навчально-методичний посібник. – К, 2008. – 154 с.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Современные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возможности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судебной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экспертизы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/колектив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авторов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/. – М.: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ТРиада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>. – Х, 2000. – 261 с.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Сташис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В. В.,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Бажанов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М. И.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Преступления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против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личности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в УК УССР в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судебной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практике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>. //К.: “Вища школа”. 1981, – 216 с.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proofErr w:type="spellStart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Тагаев</w:t>
            </w:r>
            <w:proofErr w:type="spellEnd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В.Н. </w:t>
            </w:r>
            <w:proofErr w:type="spellStart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Следы</w:t>
            </w:r>
            <w:proofErr w:type="spellEnd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крови в </w:t>
            </w:r>
            <w:proofErr w:type="spellStart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следственной</w:t>
            </w:r>
            <w:proofErr w:type="spellEnd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и </w:t>
            </w:r>
            <w:proofErr w:type="spellStart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экспертной</w:t>
            </w:r>
            <w:proofErr w:type="spellEnd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практике</w:t>
            </w:r>
            <w:proofErr w:type="spellEnd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. – X,: </w:t>
            </w:r>
            <w:proofErr w:type="spellStart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Косум</w:t>
            </w:r>
            <w:proofErr w:type="spellEnd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, 2000. – 128с.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D153D">
              <w:rPr>
                <w:sz w:val="22"/>
                <w:szCs w:val="22"/>
                <w:lang w:val="uk-UA"/>
              </w:rPr>
              <w:t>Тагаев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В.Н. Судова медицина: Підручник/За заг. ред. проф. О.М. Бандурки. –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X.:Факт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, 2003. 1253 с.: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іл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.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Шепітько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В.Ю. Довідник слідчого. – К.: Видавничий дім “Ін Юре”, 2001. – 208 с.</w:t>
            </w:r>
          </w:p>
          <w:p w:rsidR="00AD153D" w:rsidRPr="00AD153D" w:rsidRDefault="00AD153D" w:rsidP="00AD153D">
            <w:pPr>
              <w:rPr>
                <w:sz w:val="22"/>
                <w:szCs w:val="22"/>
                <w:lang w:val="uk-UA"/>
              </w:rPr>
            </w:pPr>
          </w:p>
          <w:p w:rsidR="00AD153D" w:rsidRPr="00AD153D" w:rsidRDefault="00AD153D" w:rsidP="00AD153D">
            <w:pPr>
              <w:shd w:val="clear" w:color="auto" w:fill="FFFFFF"/>
              <w:jc w:val="center"/>
              <w:rPr>
                <w:b/>
                <w:bCs/>
                <w:spacing w:val="-6"/>
                <w:sz w:val="22"/>
                <w:szCs w:val="22"/>
                <w:lang w:val="uk-UA"/>
              </w:rPr>
            </w:pPr>
          </w:p>
          <w:p w:rsidR="00AD153D" w:rsidRPr="00AD153D" w:rsidRDefault="00AD153D" w:rsidP="00AD153D">
            <w:pPr>
              <w:pStyle w:val="a7"/>
              <w:jc w:val="both"/>
              <w:rPr>
                <w:sz w:val="22"/>
                <w:szCs w:val="22"/>
                <w:lang w:val="uk-UA"/>
              </w:rPr>
            </w:pPr>
          </w:p>
          <w:p w:rsidR="00AD153D" w:rsidRPr="00AD153D" w:rsidRDefault="00AD153D" w:rsidP="00AD153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D153D">
              <w:rPr>
                <w:b/>
                <w:bCs/>
                <w:sz w:val="22"/>
                <w:szCs w:val="22"/>
                <w:lang w:val="uk-UA"/>
              </w:rPr>
              <w:t>12. Інформаційні ресурси</w:t>
            </w:r>
          </w:p>
          <w:p w:rsidR="00AD153D" w:rsidRPr="00AD153D" w:rsidRDefault="00AD153D" w:rsidP="00AD153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AD153D" w:rsidRPr="00AD153D" w:rsidRDefault="00AD153D" w:rsidP="00AD153D">
            <w:pPr>
              <w:ind w:left="360" w:right="70" w:hanging="36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I. Бібліотеки.</w:t>
            </w:r>
          </w:p>
          <w:p w:rsidR="00AD153D" w:rsidRPr="00AD153D" w:rsidRDefault="00AD153D" w:rsidP="00F63F43">
            <w:pPr>
              <w:numPr>
                <w:ilvl w:val="0"/>
                <w:numId w:val="5"/>
              </w:numPr>
              <w:ind w:right="7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Львівська наукова бібліотека ім. В. Стефаника НАН України. </w:t>
            </w:r>
          </w:p>
          <w:p w:rsidR="00AD153D" w:rsidRPr="00AD153D" w:rsidRDefault="00AD153D" w:rsidP="00AD153D">
            <w:pPr>
              <w:ind w:left="426" w:right="70" w:hanging="426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79000 м"/>
              </w:smartTagPr>
              <w:r w:rsidRPr="00AD153D">
                <w:rPr>
                  <w:sz w:val="22"/>
                  <w:szCs w:val="22"/>
                  <w:lang w:val="uk-UA"/>
                </w:rPr>
                <w:t>79000 м</w:t>
              </w:r>
            </w:smartTag>
            <w:r w:rsidRPr="00AD153D">
              <w:rPr>
                <w:sz w:val="22"/>
                <w:szCs w:val="22"/>
                <w:lang w:val="uk-UA"/>
              </w:rPr>
              <w:t>. Львів, вул. Стефаника, 2.</w:t>
            </w:r>
          </w:p>
          <w:p w:rsidR="00AD153D" w:rsidRPr="00AD153D" w:rsidRDefault="00AD153D" w:rsidP="00F63F43">
            <w:pPr>
              <w:numPr>
                <w:ilvl w:val="0"/>
                <w:numId w:val="5"/>
              </w:numPr>
              <w:ind w:right="7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Бібліотека Львівського національного університету ім. Ів. Франка. </w:t>
            </w:r>
          </w:p>
          <w:p w:rsidR="00AD153D" w:rsidRPr="00AD153D" w:rsidRDefault="00AD153D" w:rsidP="00AD153D">
            <w:pPr>
              <w:ind w:left="426" w:right="70" w:hanging="426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79601 м"/>
              </w:smartTagPr>
              <w:r w:rsidRPr="00AD153D">
                <w:rPr>
                  <w:sz w:val="22"/>
                  <w:szCs w:val="22"/>
                  <w:lang w:val="uk-UA"/>
                </w:rPr>
                <w:t>79601 м</w:t>
              </w:r>
            </w:smartTag>
            <w:r w:rsidRPr="00AD153D">
              <w:rPr>
                <w:sz w:val="22"/>
                <w:szCs w:val="22"/>
                <w:lang w:val="uk-UA"/>
              </w:rPr>
              <w:t>. Львів, вул. Драгоманова, 5.</w:t>
            </w:r>
          </w:p>
          <w:p w:rsidR="00AD153D" w:rsidRPr="00AD153D" w:rsidRDefault="00AD153D" w:rsidP="00F63F43">
            <w:pPr>
              <w:numPr>
                <w:ilvl w:val="0"/>
                <w:numId w:val="5"/>
              </w:numPr>
              <w:ind w:right="7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Львівська державна обласна універсальна наукова бібліотека.</w:t>
            </w:r>
          </w:p>
          <w:p w:rsidR="00AD153D" w:rsidRPr="00AD153D" w:rsidRDefault="00AD153D" w:rsidP="00AD153D">
            <w:pPr>
              <w:ind w:left="426" w:right="70" w:hanging="426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79000 м"/>
              </w:smartTagPr>
              <w:r w:rsidRPr="00AD153D">
                <w:rPr>
                  <w:sz w:val="22"/>
                  <w:szCs w:val="22"/>
                  <w:lang w:val="uk-UA"/>
                </w:rPr>
                <w:t>79000 м</w:t>
              </w:r>
            </w:smartTag>
            <w:r w:rsidRPr="00AD153D">
              <w:rPr>
                <w:sz w:val="22"/>
                <w:szCs w:val="22"/>
                <w:lang w:val="uk-UA"/>
              </w:rPr>
              <w:t>. Львів, пр. Т. Шевченка, 13.</w:t>
            </w:r>
          </w:p>
          <w:p w:rsidR="00AD153D" w:rsidRPr="00AD153D" w:rsidRDefault="00AD153D" w:rsidP="00AD153D">
            <w:pPr>
              <w:ind w:left="360" w:right="70" w:firstLine="54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.</w:t>
            </w:r>
          </w:p>
          <w:p w:rsidR="00AD153D" w:rsidRPr="00AD153D" w:rsidRDefault="00AD153D" w:rsidP="00AD153D">
            <w:pPr>
              <w:ind w:left="360" w:right="70" w:hanging="36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 IІ. Ресурси для навчання.</w:t>
            </w:r>
          </w:p>
          <w:p w:rsidR="00AD153D" w:rsidRPr="00AD153D" w:rsidRDefault="00B95420" w:rsidP="00AD153D">
            <w:pPr>
              <w:ind w:left="360" w:right="70" w:firstLine="540"/>
              <w:jc w:val="both"/>
              <w:rPr>
                <w:sz w:val="22"/>
                <w:szCs w:val="22"/>
                <w:lang w:val="uk-UA"/>
              </w:rPr>
            </w:pPr>
            <w:hyperlink r:id="rId12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http://edu.km.ru/</w:t>
              </w:r>
            </w:hyperlink>
          </w:p>
          <w:p w:rsidR="00AD153D" w:rsidRPr="00AD153D" w:rsidRDefault="00B95420" w:rsidP="00AD153D">
            <w:pPr>
              <w:ind w:left="360" w:right="70" w:firstLine="540"/>
              <w:jc w:val="both"/>
              <w:rPr>
                <w:sz w:val="22"/>
                <w:szCs w:val="22"/>
                <w:lang w:val="uk-UA"/>
              </w:rPr>
            </w:pPr>
            <w:hyperlink r:id="rId13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http://vschool.km.ru/</w:t>
              </w:r>
            </w:hyperlink>
          </w:p>
          <w:p w:rsidR="00AD153D" w:rsidRPr="00AD153D" w:rsidRDefault="00B95420" w:rsidP="00AD153D">
            <w:pPr>
              <w:ind w:left="360" w:right="70" w:firstLine="540"/>
              <w:jc w:val="both"/>
              <w:rPr>
                <w:sz w:val="22"/>
                <w:szCs w:val="22"/>
                <w:lang w:val="uk-UA"/>
              </w:rPr>
            </w:pPr>
            <w:hyperlink r:id="rId14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http://vkids.km.ru/</w:t>
              </w:r>
            </w:hyperlink>
          </w:p>
          <w:p w:rsidR="00AD153D" w:rsidRPr="00AD153D" w:rsidRDefault="00AD153D" w:rsidP="00AD153D">
            <w:pPr>
              <w:ind w:left="360" w:right="70" w:firstLine="540"/>
              <w:jc w:val="both"/>
              <w:rPr>
                <w:sz w:val="22"/>
                <w:szCs w:val="22"/>
                <w:lang w:val="uk-UA"/>
              </w:rPr>
            </w:pPr>
          </w:p>
          <w:p w:rsidR="00AD153D" w:rsidRPr="00AD153D" w:rsidRDefault="00AD153D" w:rsidP="00AD153D">
            <w:pPr>
              <w:ind w:left="360" w:right="70" w:hanging="36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ІІІ. Джерела Інтернет:</w:t>
            </w:r>
          </w:p>
          <w:p w:rsidR="00AD153D" w:rsidRPr="00AD153D" w:rsidRDefault="00B95420" w:rsidP="00F63F43">
            <w:pPr>
              <w:numPr>
                <w:ilvl w:val="0"/>
                <w:numId w:val="5"/>
              </w:numPr>
              <w:ind w:right="70"/>
              <w:jc w:val="both"/>
              <w:rPr>
                <w:sz w:val="22"/>
                <w:szCs w:val="22"/>
                <w:lang w:val="uk-UA"/>
              </w:rPr>
            </w:pPr>
            <w:hyperlink r:id="rId15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http://www.lib.com.ua</w:t>
              </w:r>
            </w:hyperlink>
          </w:p>
          <w:p w:rsidR="00AD153D" w:rsidRPr="00AD153D" w:rsidRDefault="00B95420" w:rsidP="00F63F43">
            <w:pPr>
              <w:numPr>
                <w:ilvl w:val="0"/>
                <w:numId w:val="5"/>
              </w:numPr>
              <w:ind w:right="70"/>
              <w:jc w:val="both"/>
              <w:rPr>
                <w:sz w:val="22"/>
                <w:szCs w:val="22"/>
                <w:lang w:val="uk-UA"/>
              </w:rPr>
            </w:pPr>
            <w:hyperlink r:id="rId16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http://www.library.lviv.ua</w:t>
              </w:r>
            </w:hyperlink>
          </w:p>
          <w:p w:rsidR="00AD153D" w:rsidRPr="00AD153D" w:rsidRDefault="00B95420" w:rsidP="00F63F43">
            <w:pPr>
              <w:numPr>
                <w:ilvl w:val="0"/>
                <w:numId w:val="5"/>
              </w:numPr>
              <w:ind w:right="70"/>
              <w:jc w:val="both"/>
              <w:rPr>
                <w:sz w:val="22"/>
                <w:szCs w:val="22"/>
                <w:lang w:val="uk-UA"/>
              </w:rPr>
            </w:pPr>
            <w:hyperlink r:id="rId17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http://www.nbuv.gov.ua</w:t>
              </w:r>
            </w:hyperlink>
          </w:p>
          <w:p w:rsidR="00AD153D" w:rsidRPr="00AD153D" w:rsidRDefault="00B95420" w:rsidP="00F63F43">
            <w:pPr>
              <w:numPr>
                <w:ilvl w:val="0"/>
                <w:numId w:val="5"/>
              </w:numPr>
              <w:ind w:right="70"/>
              <w:jc w:val="both"/>
              <w:rPr>
                <w:sz w:val="22"/>
                <w:szCs w:val="22"/>
                <w:lang w:val="uk-UA"/>
              </w:rPr>
            </w:pPr>
            <w:hyperlink r:id="rId18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http://franko/lviv.ua/library</w:t>
              </w:r>
            </w:hyperlink>
          </w:p>
          <w:p w:rsidR="00AD153D" w:rsidRPr="00AD153D" w:rsidRDefault="00B95420" w:rsidP="00F63F43">
            <w:pPr>
              <w:numPr>
                <w:ilvl w:val="0"/>
                <w:numId w:val="5"/>
              </w:numPr>
              <w:ind w:right="70"/>
              <w:jc w:val="both"/>
              <w:rPr>
                <w:sz w:val="22"/>
                <w:szCs w:val="22"/>
                <w:lang w:val="uk-UA"/>
              </w:rPr>
            </w:pPr>
            <w:hyperlink r:id="rId19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http://www.urakad.kharkiv.edu</w:t>
              </w:r>
            </w:hyperlink>
          </w:p>
          <w:p w:rsidR="00AD153D" w:rsidRPr="00AD153D" w:rsidRDefault="00B95420" w:rsidP="00F63F43">
            <w:pPr>
              <w:numPr>
                <w:ilvl w:val="0"/>
                <w:numId w:val="5"/>
              </w:numPr>
              <w:ind w:right="70"/>
              <w:jc w:val="both"/>
              <w:rPr>
                <w:sz w:val="22"/>
                <w:szCs w:val="22"/>
                <w:lang w:val="uk-UA"/>
              </w:rPr>
            </w:pPr>
            <w:hyperlink r:id="rId20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http://www.nla.od.ua/odessa/lib</w:t>
              </w:r>
            </w:hyperlink>
          </w:p>
          <w:p w:rsidR="00AD153D" w:rsidRPr="00AD153D" w:rsidRDefault="00B95420" w:rsidP="00F63F43">
            <w:pPr>
              <w:numPr>
                <w:ilvl w:val="0"/>
                <w:numId w:val="5"/>
              </w:numPr>
              <w:ind w:right="70"/>
              <w:jc w:val="both"/>
              <w:rPr>
                <w:sz w:val="22"/>
                <w:szCs w:val="22"/>
                <w:lang w:val="uk-UA"/>
              </w:rPr>
            </w:pPr>
            <w:hyperlink r:id="rId21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http://www.uosa.uar.net</w:t>
              </w:r>
            </w:hyperlink>
          </w:p>
          <w:p w:rsidR="00AD153D" w:rsidRPr="00AD153D" w:rsidRDefault="00B95420" w:rsidP="00F63F43">
            <w:pPr>
              <w:numPr>
                <w:ilvl w:val="0"/>
                <w:numId w:val="5"/>
              </w:numPr>
              <w:ind w:right="70"/>
              <w:jc w:val="both"/>
              <w:rPr>
                <w:sz w:val="22"/>
                <w:szCs w:val="22"/>
                <w:lang w:val="uk-UA"/>
              </w:rPr>
            </w:pPr>
            <w:hyperlink r:id="rId22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http://www.lib-gw.univ.kiev.ua</w:t>
              </w:r>
            </w:hyperlink>
          </w:p>
          <w:p w:rsidR="00AD153D" w:rsidRPr="00AD153D" w:rsidRDefault="00AD153D" w:rsidP="00AD153D">
            <w:pPr>
              <w:ind w:left="360" w:right="70" w:firstLine="540"/>
              <w:jc w:val="both"/>
              <w:rPr>
                <w:sz w:val="22"/>
                <w:szCs w:val="22"/>
                <w:lang w:val="uk-UA"/>
              </w:rPr>
            </w:pPr>
          </w:p>
          <w:p w:rsidR="00AD153D" w:rsidRPr="00AD153D" w:rsidRDefault="00AD153D" w:rsidP="00AD153D">
            <w:pPr>
              <w:ind w:left="360" w:right="70" w:hanging="36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lastRenderedPageBreak/>
              <w:t>ІV .Енциклопедії і довідники.</w:t>
            </w:r>
          </w:p>
          <w:p w:rsidR="00AD153D" w:rsidRPr="00AD153D" w:rsidRDefault="00B95420" w:rsidP="00AD153D">
            <w:pPr>
              <w:ind w:left="360" w:right="70" w:firstLine="540"/>
              <w:jc w:val="both"/>
              <w:rPr>
                <w:sz w:val="22"/>
                <w:szCs w:val="22"/>
                <w:lang w:val="uk-UA"/>
              </w:rPr>
            </w:pPr>
            <w:hyperlink r:id="rId23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http://mega.km.ru/</w:t>
              </w:r>
            </w:hyperlink>
          </w:p>
          <w:p w:rsidR="00AD153D" w:rsidRPr="00AD153D" w:rsidRDefault="00B95420" w:rsidP="00AD153D">
            <w:pPr>
              <w:ind w:left="360" w:right="70" w:firstLine="540"/>
              <w:jc w:val="both"/>
              <w:rPr>
                <w:sz w:val="22"/>
                <w:szCs w:val="22"/>
                <w:lang w:val="uk-UA"/>
              </w:rPr>
            </w:pPr>
            <w:hyperlink r:id="rId24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http://vesna.sammit.kiev.ua/</w:t>
              </w:r>
            </w:hyperlink>
          </w:p>
          <w:p w:rsidR="00AD153D" w:rsidRPr="00AD153D" w:rsidRDefault="00B95420" w:rsidP="00AD153D">
            <w:pPr>
              <w:ind w:left="360" w:right="70" w:firstLine="540"/>
              <w:jc w:val="both"/>
              <w:rPr>
                <w:sz w:val="22"/>
                <w:szCs w:val="22"/>
                <w:lang w:val="uk-UA"/>
              </w:rPr>
            </w:pPr>
            <w:hyperlink r:id="rId25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http://slovnik.org/Ink/dic.html</w:t>
              </w:r>
            </w:hyperlink>
          </w:p>
          <w:p w:rsidR="00F1208C" w:rsidRPr="001C632F" w:rsidRDefault="00F1208C" w:rsidP="00AD153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8C" w:rsidRPr="00AD153D" w:rsidRDefault="00F2023F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 год.</w:t>
            </w: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8F51D6" w:rsidP="003421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ru-RU"/>
              </w:rPr>
              <w:t>48</w:t>
            </w:r>
            <w:r w:rsidR="00F1208C" w:rsidRPr="00AD153D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годин аудиторних занять. З них </w:t>
            </w:r>
            <w:r w:rsidRPr="00AD153D">
              <w:rPr>
                <w:color w:val="auto"/>
                <w:sz w:val="22"/>
                <w:szCs w:val="22"/>
                <w:lang w:val="ru-RU"/>
              </w:rPr>
              <w:t xml:space="preserve">16 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годин лекцій, </w:t>
            </w:r>
            <w:r w:rsidRPr="00AD153D">
              <w:rPr>
                <w:color w:val="auto"/>
                <w:sz w:val="22"/>
                <w:szCs w:val="22"/>
                <w:lang w:val="ru-RU"/>
              </w:rPr>
              <w:t>32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342151">
              <w:rPr>
                <w:color w:val="auto"/>
                <w:sz w:val="22"/>
                <w:szCs w:val="22"/>
                <w:lang w:val="uk-UA"/>
              </w:rPr>
              <w:t>семінарських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 занять та</w:t>
            </w:r>
            <w:r w:rsidR="00E34BC9">
              <w:rPr>
                <w:color w:val="auto"/>
                <w:sz w:val="22"/>
                <w:szCs w:val="22"/>
                <w:lang w:val="uk-UA"/>
              </w:rPr>
              <w:t xml:space="preserve"> 56</w:t>
            </w:r>
            <w:r w:rsidR="00F20679" w:rsidRPr="00AD153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>годин самостійної роботи</w:t>
            </w: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76" w:rsidRPr="001C632F" w:rsidRDefault="00F1208C" w:rsidP="001C632F">
            <w:pPr>
              <w:jc w:val="both"/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Після завер</w:t>
            </w:r>
            <w:r w:rsidR="001C632F">
              <w:rPr>
                <w:color w:val="auto"/>
                <w:sz w:val="22"/>
                <w:szCs w:val="22"/>
                <w:lang w:val="uk-UA"/>
              </w:rPr>
              <w:t xml:space="preserve">шення цього курсу студент </w:t>
            </w:r>
            <w:r w:rsidR="001C632F" w:rsidRPr="001C632F">
              <w:rPr>
                <w:color w:val="auto"/>
                <w:sz w:val="22"/>
                <w:szCs w:val="22"/>
                <w:lang w:val="uk-UA"/>
              </w:rPr>
              <w:t xml:space="preserve">буде </w:t>
            </w:r>
            <w:r w:rsidR="00EB0776" w:rsidRPr="001C632F"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знати:</w:t>
            </w:r>
          </w:p>
          <w:p w:rsidR="00EB0776" w:rsidRPr="00AD153D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uk-UA" w:eastAsia="uk-UA"/>
              </w:rPr>
            </w:pPr>
            <w:r w:rsidRPr="00AD153D">
              <w:rPr>
                <w:sz w:val="22"/>
                <w:szCs w:val="22"/>
                <w:lang w:val="uk-UA" w:eastAsia="uk-UA"/>
              </w:rPr>
              <w:t>- предмет судової медицини, його завдання, законодавчі і процесуальні можливості виконання експертиз;</w:t>
            </w:r>
          </w:p>
          <w:p w:rsidR="00EB0776" w:rsidRPr="00AD153D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spacing w:val="-6"/>
                <w:sz w:val="22"/>
                <w:szCs w:val="22"/>
                <w:lang w:val="uk-UA" w:eastAsia="uk-UA"/>
              </w:rPr>
            </w:pPr>
            <w:r w:rsidRPr="00AD153D">
              <w:rPr>
                <w:spacing w:val="-6"/>
                <w:sz w:val="22"/>
                <w:szCs w:val="22"/>
                <w:lang w:val="uk-UA" w:eastAsia="uk-UA"/>
              </w:rPr>
              <w:t>- загальнотеоретичні проблеми судової медицини , процесуально-організаційні основи діяльності судово-медичної  служби в Україні та за кор</w:t>
            </w:r>
            <w:r w:rsidRPr="00AD153D">
              <w:rPr>
                <w:spacing w:val="-6"/>
                <w:sz w:val="22"/>
                <w:szCs w:val="22"/>
                <w:lang w:val="uk-UA" w:eastAsia="uk-UA"/>
              </w:rPr>
              <w:softHyphen/>
              <w:t xml:space="preserve">доном; </w:t>
            </w:r>
          </w:p>
          <w:p w:rsidR="00EB0776" w:rsidRPr="00AD153D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AD153D">
              <w:rPr>
                <w:sz w:val="22"/>
                <w:szCs w:val="22"/>
                <w:lang w:val="uk-UA" w:eastAsia="uk-UA"/>
              </w:rPr>
              <w:t xml:space="preserve">- види експертиз та порядок їх призначення згідно чинного законодавства; підстави для виконання судово-медичної експертизи (дослідження) трупу, живої особи, речових доказів; види слідчих дій; вимоги до оформлення судово-медичної документації; значення дослідження одягу під час зовнішнього огляду трупу до розтину; перелік додаткових досліджень, які використовують під час  </w:t>
            </w:r>
            <w:r w:rsidRPr="00AD153D">
              <w:rPr>
                <w:color w:val="auto"/>
                <w:sz w:val="22"/>
                <w:szCs w:val="22"/>
                <w:lang w:val="uk-UA" w:eastAsia="uk-UA"/>
              </w:rPr>
              <w:t xml:space="preserve">судово-медичних експертиз (досліджень, </w:t>
            </w:r>
            <w:proofErr w:type="spellStart"/>
            <w:r w:rsidRPr="00AD153D">
              <w:rPr>
                <w:color w:val="auto"/>
                <w:sz w:val="22"/>
                <w:szCs w:val="22"/>
                <w:lang w:val="uk-UA" w:eastAsia="uk-UA"/>
              </w:rPr>
              <w:t>освідувань</w:t>
            </w:r>
            <w:proofErr w:type="spellEnd"/>
            <w:r w:rsidRPr="00AD153D">
              <w:rPr>
                <w:color w:val="auto"/>
                <w:sz w:val="22"/>
                <w:szCs w:val="22"/>
                <w:lang w:val="uk-UA" w:eastAsia="uk-UA"/>
              </w:rPr>
              <w:t xml:space="preserve">); </w:t>
            </w:r>
            <w:r w:rsidRPr="00AD153D">
              <w:rPr>
                <w:sz w:val="22"/>
                <w:szCs w:val="22"/>
                <w:lang w:val="uk-UA" w:eastAsia="uk-UA"/>
              </w:rPr>
              <w:t xml:space="preserve">методи знаходження, вилучення, пакування речових доказів на місці події, під час </w:t>
            </w:r>
            <w:proofErr w:type="spellStart"/>
            <w:r w:rsidRPr="00AD153D">
              <w:rPr>
                <w:sz w:val="22"/>
                <w:szCs w:val="22"/>
                <w:lang w:val="uk-UA" w:eastAsia="uk-UA"/>
              </w:rPr>
              <w:t>освідування</w:t>
            </w:r>
            <w:proofErr w:type="spellEnd"/>
            <w:r w:rsidRPr="00AD153D">
              <w:rPr>
                <w:sz w:val="22"/>
                <w:szCs w:val="22"/>
                <w:lang w:val="uk-UA" w:eastAsia="uk-UA"/>
              </w:rPr>
              <w:t xml:space="preserve"> чи інших слідчих діях;</w:t>
            </w:r>
          </w:p>
          <w:p w:rsidR="00EB0776" w:rsidRPr="00AD153D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AD153D">
              <w:rPr>
                <w:sz w:val="22"/>
                <w:szCs w:val="22"/>
                <w:lang w:val="uk-UA" w:eastAsia="uk-UA"/>
              </w:rPr>
              <w:t>- порядок призначення і здійснення судово-медичних експертиз в кримінальному і цивільному процесах;</w:t>
            </w:r>
          </w:p>
          <w:p w:rsidR="00EB0776" w:rsidRPr="001C632F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</w:pPr>
            <w:r w:rsidRPr="00AD153D">
              <w:rPr>
                <w:b/>
                <w:bCs/>
                <w:iCs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1C632F"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 xml:space="preserve">вміти: </w:t>
            </w:r>
          </w:p>
          <w:p w:rsidR="00EB0776" w:rsidRPr="00AD153D" w:rsidRDefault="00EB0776" w:rsidP="00EB0776">
            <w:pPr>
              <w:widowControl w:val="0"/>
              <w:tabs>
                <w:tab w:val="left" w:pos="709"/>
              </w:tabs>
              <w:jc w:val="both"/>
              <w:rPr>
                <w:color w:val="auto"/>
                <w:sz w:val="22"/>
                <w:szCs w:val="22"/>
                <w:lang w:val="uk-UA" w:eastAsia="ru-RU"/>
              </w:rPr>
            </w:pPr>
            <w:r w:rsidRPr="00AD153D">
              <w:rPr>
                <w:color w:val="auto"/>
                <w:sz w:val="22"/>
                <w:szCs w:val="22"/>
                <w:lang w:val="uk-UA" w:eastAsia="ru-RU"/>
              </w:rPr>
              <w:t>- здійснювати огляд, опис трупу на місці події або його знаходження, огляд та опис речових доказів біологічного (людського) походження з повноцінним забором для наступних експертних досліджень;</w:t>
            </w:r>
          </w:p>
          <w:p w:rsidR="00EB0776" w:rsidRPr="00AD153D" w:rsidRDefault="00EB0776" w:rsidP="00EB0776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  <w:lang w:val="uk-UA" w:eastAsia="ru-RU"/>
              </w:rPr>
            </w:pPr>
            <w:r w:rsidRPr="00AD153D">
              <w:rPr>
                <w:color w:val="auto"/>
                <w:sz w:val="22"/>
                <w:szCs w:val="22"/>
                <w:lang w:val="uk-UA" w:eastAsia="ru-RU"/>
              </w:rPr>
              <w:t>- правильно формулювати запитання для судово-медичного  експерта, чітко розуміючи межі компетенції та можливості експертів;</w:t>
            </w:r>
          </w:p>
          <w:p w:rsidR="00EB0776" w:rsidRPr="00AD153D" w:rsidRDefault="00EB0776" w:rsidP="00EB0776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iCs/>
                <w:color w:val="auto"/>
                <w:sz w:val="22"/>
                <w:szCs w:val="22"/>
                <w:lang w:val="uk-UA" w:eastAsia="ru-RU"/>
              </w:rPr>
            </w:pPr>
            <w:r w:rsidRPr="00AD153D">
              <w:rPr>
                <w:color w:val="auto"/>
                <w:sz w:val="22"/>
                <w:szCs w:val="22"/>
                <w:lang w:val="uk-UA" w:eastAsia="ru-RU"/>
              </w:rPr>
              <w:t xml:space="preserve">- юридично правильно оцінювати результати судово-медичної експертизи (дослідження, </w:t>
            </w:r>
            <w:proofErr w:type="spellStart"/>
            <w:r w:rsidRPr="00AD153D">
              <w:rPr>
                <w:color w:val="auto"/>
                <w:sz w:val="22"/>
                <w:szCs w:val="22"/>
                <w:lang w:val="uk-UA" w:eastAsia="ru-RU"/>
              </w:rPr>
              <w:t>освідування</w:t>
            </w:r>
            <w:proofErr w:type="spellEnd"/>
            <w:r w:rsidRPr="00AD153D">
              <w:rPr>
                <w:color w:val="auto"/>
                <w:sz w:val="22"/>
                <w:szCs w:val="22"/>
                <w:lang w:val="uk-UA" w:eastAsia="ru-RU"/>
              </w:rPr>
              <w:t>), а також знайдених та досліджених речових доказів біологічного походження;</w:t>
            </w:r>
          </w:p>
          <w:p w:rsidR="00EB0776" w:rsidRPr="00AD153D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  <w:lang w:val="uk-UA" w:eastAsia="uk-UA"/>
              </w:rPr>
            </w:pPr>
            <w:r w:rsidRPr="00AD153D">
              <w:rPr>
                <w:sz w:val="22"/>
                <w:szCs w:val="22"/>
                <w:lang w:val="uk-UA" w:eastAsia="uk-UA"/>
              </w:rPr>
              <w:t>- відрізняти медичну оцінку осіб різного віку та стосовно різних за</w:t>
            </w:r>
            <w:r w:rsidRPr="00AD153D">
              <w:rPr>
                <w:sz w:val="22"/>
                <w:szCs w:val="22"/>
                <w:lang w:val="uk-UA" w:eastAsia="uk-UA"/>
              </w:rPr>
              <w:softHyphen/>
              <w:t>хворювань.</w:t>
            </w: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8C" w:rsidRPr="00AD153D" w:rsidRDefault="006A1BA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Судова медицина, судово-медична експертиза</w:t>
            </w: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AD153D">
              <w:rPr>
                <w:b/>
                <w:color w:val="auto"/>
                <w:sz w:val="22"/>
                <w:szCs w:val="22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EB077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Очний </w:t>
            </w:r>
            <w:r w:rsidR="00EB0776" w:rsidRPr="00AD153D">
              <w:rPr>
                <w:color w:val="auto"/>
                <w:sz w:val="22"/>
                <w:szCs w:val="22"/>
                <w:lang w:val="uk-UA"/>
              </w:rPr>
              <w:t>та</w:t>
            </w:r>
            <w:r w:rsidR="00EB0776"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AD153D">
              <w:rPr>
                <w:color w:val="auto"/>
                <w:sz w:val="22"/>
                <w:szCs w:val="22"/>
                <w:lang w:val="uk-UA"/>
              </w:rPr>
              <w:t xml:space="preserve">заочний </w:t>
            </w: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EB0776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Проведення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лекцій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EB0776" w:rsidRPr="00AD153D">
              <w:rPr>
                <w:color w:val="auto"/>
                <w:sz w:val="22"/>
                <w:szCs w:val="22"/>
                <w:lang w:val="ru-RU"/>
              </w:rPr>
              <w:t>практичних</w:t>
            </w:r>
            <w:proofErr w:type="spellEnd"/>
            <w:r w:rsidR="00EB0776" w:rsidRPr="00AD153D">
              <w:rPr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EB0776" w:rsidRPr="00AD153D">
              <w:rPr>
                <w:color w:val="auto"/>
                <w:sz w:val="22"/>
                <w:szCs w:val="22"/>
                <w:lang w:val="ru-RU"/>
              </w:rPr>
              <w:t>семінарських</w:t>
            </w:r>
            <w:proofErr w:type="spellEnd"/>
            <w:r w:rsidR="00EB0776" w:rsidRPr="00AD153D">
              <w:rPr>
                <w:color w:val="auto"/>
                <w:sz w:val="22"/>
                <w:szCs w:val="22"/>
                <w:lang w:val="ru-RU"/>
              </w:rPr>
              <w:t xml:space="preserve"> занять</w:t>
            </w:r>
            <w:r w:rsidRPr="00AD153D">
              <w:rPr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консультації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кращого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розуміння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тем</w:t>
            </w: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6A1BA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153D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6A1BA8" w:rsidRPr="00AD153D">
              <w:rPr>
                <w:rFonts w:ascii="Times New Roman" w:hAnsi="Times New Roman" w:cs="Times New Roman"/>
                <w:color w:val="auto"/>
                <w:lang w:val="uk-UA"/>
              </w:rPr>
              <w:t>ивись</w:t>
            </w:r>
            <w:r w:rsidRPr="00AD153D">
              <w:rPr>
                <w:rFonts w:ascii="Times New Roman" w:hAnsi="Times New Roman" w:cs="Times New Roman"/>
                <w:color w:val="auto"/>
                <w:lang w:val="uk-UA"/>
              </w:rPr>
              <w:t xml:space="preserve"> СХЕМИ </w:t>
            </w:r>
            <w:r w:rsidR="00342151">
              <w:rPr>
                <w:rFonts w:ascii="Times New Roman" w:hAnsi="Times New Roman" w:cs="Times New Roman"/>
                <w:color w:val="auto"/>
                <w:lang w:val="uk-UA"/>
              </w:rPr>
              <w:t xml:space="preserve">ТЕМ </w:t>
            </w:r>
            <w:r w:rsidRPr="00AD153D">
              <w:rPr>
                <w:rFonts w:ascii="Times New Roman" w:hAnsi="Times New Roman" w:cs="Times New Roman"/>
                <w:color w:val="auto"/>
                <w:lang w:val="uk-UA"/>
              </w:rPr>
              <w:t>КУРСУ</w:t>
            </w: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8F51D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залік в кінці семестру</w:t>
            </w:r>
            <w:r w:rsidR="008F51D6"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AD153D">
              <w:rPr>
                <w:color w:val="auto"/>
                <w:sz w:val="22"/>
                <w:szCs w:val="22"/>
                <w:lang w:val="uk-UA"/>
              </w:rPr>
              <w:t xml:space="preserve">комбінований </w:t>
            </w: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EA" w:rsidRPr="001C632F" w:rsidRDefault="002A79EA" w:rsidP="002A79EA">
            <w:pPr>
              <w:jc w:val="both"/>
              <w:rPr>
                <w:rFonts w:eastAsiaTheme="minorHAnsi"/>
                <w:color w:val="auto"/>
                <w:sz w:val="22"/>
                <w:szCs w:val="22"/>
                <w:lang w:val="uk-UA"/>
              </w:rPr>
            </w:pPr>
            <w:r w:rsidRPr="001C632F">
              <w:rPr>
                <w:rFonts w:eastAsiaTheme="minorHAnsi"/>
                <w:bCs/>
                <w:iCs/>
                <w:color w:val="auto"/>
                <w:sz w:val="22"/>
                <w:szCs w:val="22"/>
                <w:lang w:val="uk-UA"/>
              </w:rPr>
              <w:t>Перелік дисциплін, засвоєння яких потрібні студентам для вивчення цього курсу:</w:t>
            </w:r>
            <w:r w:rsidRPr="001C632F">
              <w:rPr>
                <w:rFonts w:eastAsiaTheme="minorHAnsi"/>
                <w:color w:val="auto"/>
                <w:sz w:val="22"/>
                <w:szCs w:val="22"/>
                <w:lang w:val="uk-UA"/>
              </w:rPr>
              <w:t xml:space="preserve"> кримінальне право та процес; кримінологія; криміналістика; цивільне право і процес; педагогіка;  карно-виконавче право; адміністративно-правовий та процес; судова експертологія.</w:t>
            </w:r>
          </w:p>
          <w:p w:rsidR="00F1208C" w:rsidRPr="001C632F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79" w:rsidRPr="00AD153D" w:rsidRDefault="00F1208C" w:rsidP="00F2067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Із урахуванням особливостей навчальної дисципліни.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Вивчення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курсу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потребувати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програмного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крім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загально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вживаних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програм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операційних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систем.</w:t>
            </w: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Оцінювання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нараховуються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наступним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співідношенням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: </w:t>
            </w: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AD153D">
              <w:rPr>
                <w:color w:val="auto"/>
                <w:sz w:val="22"/>
                <w:szCs w:val="22"/>
                <w:lang w:val="ru-RU"/>
              </w:rPr>
              <w:t xml:space="preserve">•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практичні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самостійні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тощо</w:t>
            </w:r>
            <w:proofErr w:type="spellEnd"/>
            <w:proofErr w:type="gramStart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2A79EA" w:rsidRPr="00AD153D">
              <w:rPr>
                <w:color w:val="auto"/>
                <w:sz w:val="22"/>
                <w:szCs w:val="22"/>
                <w:lang w:val="ru-RU"/>
              </w:rPr>
              <w:t>50</w:t>
            </w: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AD153D">
              <w:rPr>
                <w:color w:val="auto"/>
                <w:sz w:val="22"/>
                <w:szCs w:val="22"/>
                <w:lang w:val="ru-RU"/>
              </w:rPr>
              <w:t xml:space="preserve"> •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залік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:  </w:t>
            </w:r>
            <w:proofErr w:type="gramStart"/>
            <w:r w:rsidRPr="00AD153D">
              <w:rPr>
                <w:color w:val="auto"/>
                <w:sz w:val="22"/>
                <w:szCs w:val="22"/>
                <w:lang w:val="ru-RU"/>
              </w:rPr>
              <w:t>Максимальна</w:t>
            </w:r>
            <w:proofErr w:type="gram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кількість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балів</w:t>
            </w:r>
            <w:proofErr w:type="spellEnd"/>
            <w:r w:rsidR="002A79EA" w:rsidRPr="00AD153D">
              <w:rPr>
                <w:color w:val="auto"/>
                <w:sz w:val="22"/>
                <w:szCs w:val="22"/>
                <w:lang w:val="ru-RU"/>
              </w:rPr>
              <w:t xml:space="preserve"> 50</w:t>
            </w: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Підсумкова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максимальна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кількість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балів</w:t>
            </w:r>
            <w:proofErr w:type="spellEnd"/>
            <w:r w:rsidR="002A79EA" w:rsidRPr="00AD153D">
              <w:rPr>
                <w:color w:val="auto"/>
                <w:sz w:val="22"/>
                <w:szCs w:val="22"/>
                <w:lang w:val="ru-RU"/>
              </w:rPr>
              <w:t xml:space="preserve"> 100</w:t>
            </w: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D153D">
              <w:rPr>
                <w:b/>
                <w:sz w:val="22"/>
                <w:szCs w:val="22"/>
                <w:lang w:val="ru-RU"/>
              </w:rPr>
              <w:t>Академічна</w:t>
            </w:r>
            <w:proofErr w:type="spellEnd"/>
            <w:r w:rsidRPr="00AD153D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b/>
                <w:sz w:val="22"/>
                <w:szCs w:val="22"/>
                <w:lang w:val="ru-RU"/>
              </w:rPr>
              <w:t>доброчесність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Очікується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студентів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будуть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оригінальними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дослідженнями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чи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міркуваннями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Відсутність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посилань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використані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джерела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фабрикування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джерел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списування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втручання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в роботу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інших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студентів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становлять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але не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обмежують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приклади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можливої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академічної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недоброчесності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Виявлення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ознак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академічної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недоброчесності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письмовій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роботі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студента є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підставою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її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незарахуванння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викладачем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незалежно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масштабів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плагіату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чи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обману. </w:t>
            </w:r>
            <w:proofErr w:type="spellStart"/>
            <w:r w:rsidRPr="00AD153D">
              <w:rPr>
                <w:b/>
                <w:sz w:val="22"/>
                <w:szCs w:val="22"/>
                <w:lang w:val="ru-RU"/>
              </w:rPr>
              <w:t>Відвідання</w:t>
            </w:r>
            <w:proofErr w:type="spellEnd"/>
            <w:r w:rsidRPr="00AD153D">
              <w:rPr>
                <w:b/>
                <w:sz w:val="22"/>
                <w:szCs w:val="22"/>
                <w:lang w:val="ru-RU"/>
              </w:rPr>
              <w:t xml:space="preserve"> занять</w:t>
            </w:r>
            <w:r w:rsidRPr="00AD153D">
              <w:rPr>
                <w:sz w:val="22"/>
                <w:szCs w:val="22"/>
                <w:lang w:val="ru-RU"/>
              </w:rPr>
              <w:t xml:space="preserve"> є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важливою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складовою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навчання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Очікується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всі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студенти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відвідають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усі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лекції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практичні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зайняття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курсу.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Студенти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мають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інформувати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викладача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неможливість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відвідати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заняття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>. У будь-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якому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випадку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студенти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зобов’язані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дотримуватися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усіх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строків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визначених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усіх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видів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письмових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робіт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передбачених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курсом. </w:t>
            </w:r>
            <w:proofErr w:type="spellStart"/>
            <w:r w:rsidRPr="00AD153D"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 w:rsidRPr="00AD153D">
              <w:rPr>
                <w:b/>
                <w:sz w:val="22"/>
                <w:szCs w:val="22"/>
                <w:lang w:val="ru-RU"/>
              </w:rPr>
              <w:t>.</w:t>
            </w:r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Уся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література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яку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студенти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зможуть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знайти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самостійно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буде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надана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викладачем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виключно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освітніх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цілях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без права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її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передачі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третім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особам.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Студенти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заохочуються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також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й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іншої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джерел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яких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немає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серед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рекомендованих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>.</w:t>
            </w: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F1208C" w:rsidRPr="00AD153D" w:rsidRDefault="00F1208C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C632F">
              <w:rPr>
                <w:color w:val="auto"/>
                <w:sz w:val="22"/>
                <w:szCs w:val="22"/>
                <w:lang w:val="ru-RU"/>
              </w:rPr>
              <w:t>П</w:t>
            </w:r>
            <w:proofErr w:type="spellStart"/>
            <w:r w:rsidRPr="001C632F">
              <w:rPr>
                <w:bCs/>
                <w:color w:val="auto"/>
                <w:sz w:val="22"/>
                <w:szCs w:val="22"/>
                <w:lang w:val="uk-UA" w:eastAsia="uk-UA"/>
              </w:rPr>
              <w:t>олітика</w:t>
            </w:r>
            <w:proofErr w:type="spellEnd"/>
            <w:r w:rsidRPr="001C632F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виставлення балів.</w:t>
            </w:r>
            <w:r w:rsidRPr="001C632F">
              <w:rPr>
                <w:color w:val="auto"/>
                <w:sz w:val="22"/>
                <w:szCs w:val="22"/>
                <w:lang w:val="uk-UA" w:eastAsia="uk-UA"/>
              </w:rPr>
              <w:t> Враховуються бали набрані на поточному тестуванні, самостійній роботі та бали</w:t>
            </w:r>
            <w:r w:rsidRPr="00AD153D">
              <w:rPr>
                <w:color w:val="auto"/>
                <w:sz w:val="22"/>
                <w:szCs w:val="22"/>
                <w:lang w:val="uk-UA" w:eastAsia="uk-UA"/>
              </w:rPr>
              <w:t xml:space="preserve">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1208C" w:rsidRPr="00AD153D" w:rsidRDefault="00F1208C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</w:p>
          <w:p w:rsidR="00F1208C" w:rsidRPr="00AD153D" w:rsidRDefault="00F1208C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ru-RU" w:eastAsia="uk-UA"/>
              </w:rPr>
            </w:pP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Жодні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форми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порушення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академічної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доброчесності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толеруються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>.</w:t>
            </w: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2A79E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C9" w:rsidRPr="00E34BC9" w:rsidRDefault="00E34BC9" w:rsidP="00E34BC9">
            <w:pPr>
              <w:pStyle w:val="Normal1"/>
              <w:ind w:left="0" w:firstLine="0"/>
              <w:jc w:val="center"/>
              <w:rPr>
                <w:b/>
                <w:szCs w:val="22"/>
              </w:rPr>
            </w:pPr>
            <w:r w:rsidRPr="00E34BC9">
              <w:rPr>
                <w:b/>
                <w:szCs w:val="22"/>
              </w:rPr>
              <w:t>ПЕРЕЛІК ПИТАНЬ З СУДОВОЇ МЕДИЦИНИ</w:t>
            </w:r>
          </w:p>
          <w:p w:rsidR="00E34BC9" w:rsidRPr="00E34BC9" w:rsidRDefault="00E34BC9" w:rsidP="00E34BC9">
            <w:pPr>
              <w:pStyle w:val="Normal1"/>
              <w:ind w:left="0" w:firstLine="0"/>
              <w:jc w:val="center"/>
              <w:rPr>
                <w:b/>
                <w:szCs w:val="22"/>
              </w:rPr>
            </w:pP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Предмет і зміст судової медицини , її завдання.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Процесуальні та організаційні основи судово-медичної експертизи.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Побудова судово-медичної служби на Україні.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Права, обов‘язки та відповідальність судово-медичного експерта та лікаря-експерта.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Об‘єкти судово-медичної експертизи. Вимоги до документації.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Життя, смерть, їх визначення. Етапи настання смерті.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Трупні плями та їх судово-медичне значення.  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Трупне задубіння, судово-медичне значення.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Охолодження трупа та особливості визначення часу настання смерті.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Пізні трупні явища, їх види.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Трупне гниття, етапи його розвитку та судово-медичне значення.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"Консервуючи" природні трупні явища.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Підстави до проведення судово-медичного розтину.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Перелік питань, які повинен поставити слідчий перед судово-медичним експертом при виконанні судово-медичного дослідження трупа.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дослідження трупа невідомої особи.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поняття "раптова смерть", медико-соціальні причини.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Роль лікаря-фахівця в огляді трупа на місці його виявлення.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понять "механічне ушкодження", “тілесне ушкодження”, "травма", "травматизм"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Питання, що вирішуються при механічних ушкодженнях.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lastRenderedPageBreak/>
              <w:t xml:space="preserve"> Види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Садна, синці, механізм їх утворення та судово-медичне значення.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Види ран, поранень, їх судово-медичне значення.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Забиті рани, їх ознаки, види, характер в залежності від виду </w:t>
            </w:r>
            <w:proofErr w:type="spellStart"/>
            <w:r w:rsidRPr="00E34BC9">
              <w:rPr>
                <w:szCs w:val="22"/>
              </w:rPr>
              <w:t>травмуючого</w:t>
            </w:r>
            <w:proofErr w:type="spellEnd"/>
            <w:r w:rsidRPr="00E34BC9">
              <w:rPr>
                <w:szCs w:val="22"/>
              </w:rPr>
              <w:t xml:space="preserve"> предмета.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Переломи плоских та трубчастих кісток, механізми їх утворення.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Причини смерті при ушкодженнях.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ушкоджень при падінні людини з висоти.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Автомобільна травма, класифікація, види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Залізнична травма. Її види та особливості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Гострі знаряддя, їх класифікація та види ушкоджень від них.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Колоті та колото-різані рани, їх судово-медичне значення.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Різані та рубані рани, їх судово-медичне значення.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Питання, що вирішуються судово-медичним експертом при дослідженні ран від дії гострих знарядь.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Класифікація ручної стрілецької вогнепальної зброї.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Види набоїв, їх кінетична енергія та зв‘язок з цим формуванням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Кульове вогнестрільні поранення, його елементи та особливості.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Судово-медичне визначення відстані (дистанції) пострілу.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Кульове вогнепальне поранення при пострілі впритул.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кульового вогнестрільного поранення при пострілі з близької відстані.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Кульове вогнестрільне поранення при пострілі з неблизької відстані.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напрямку </w:t>
            </w:r>
            <w:proofErr w:type="spellStart"/>
            <w:r w:rsidRPr="00E34BC9">
              <w:rPr>
                <w:szCs w:val="22"/>
              </w:rPr>
              <w:t>раневого</w:t>
            </w:r>
            <w:proofErr w:type="spellEnd"/>
            <w:r w:rsidRPr="00E34BC9">
              <w:rPr>
                <w:szCs w:val="22"/>
              </w:rPr>
              <w:t xml:space="preserve"> каналу вогнестрільного поранення, напрямку пострілу.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Ушкодження при вибухах мін, снарядів, запалів.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Ушкодження дробовим набоєм, визначення відстані пострілу у випадках дробових поранень.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Медико-криміналістичні та інші лабораторні дослідження вогнепальних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Поняття "киснева недостатність", "асфіксія", види, класифікація.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Загально-</w:t>
            </w:r>
            <w:proofErr w:type="spellStart"/>
            <w:r w:rsidRPr="00E34BC9">
              <w:rPr>
                <w:szCs w:val="22"/>
              </w:rPr>
              <w:t>асфіктичні</w:t>
            </w:r>
            <w:proofErr w:type="spellEnd"/>
            <w:r w:rsidRPr="00E34BC9">
              <w:rPr>
                <w:szCs w:val="22"/>
              </w:rPr>
              <w:t xml:space="preserve"> ознаки, їх судово-медичне значення.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Класифікація механічної асфіксії.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Повішення .задушення петлею, їх ознаки.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Судово-медична характеристика удавлення руками.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</w:t>
            </w:r>
            <w:proofErr w:type="spellStart"/>
            <w:r w:rsidRPr="00E34BC9">
              <w:rPr>
                <w:szCs w:val="22"/>
              </w:rPr>
              <w:t>Обтураційні</w:t>
            </w:r>
            <w:proofErr w:type="spellEnd"/>
            <w:r w:rsidRPr="00E34BC9">
              <w:rPr>
                <w:szCs w:val="22"/>
              </w:rPr>
              <w:t xml:space="preserve"> види асфіксії.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Судово-медична діагностика утеплення.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Розлад здоров‘я та смерть від дії технічної електрики.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Розлад здоров‘я та смерть від дії блискавки.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Смерть від дії високої температури. Судово-медичні ознаки термічних </w:t>
            </w:r>
            <w:proofErr w:type="spellStart"/>
            <w:r w:rsidRPr="00E34BC9">
              <w:rPr>
                <w:szCs w:val="22"/>
              </w:rPr>
              <w:t>опіків</w:t>
            </w:r>
            <w:proofErr w:type="spellEnd"/>
            <w:r w:rsidRPr="00E34BC9">
              <w:rPr>
                <w:szCs w:val="22"/>
              </w:rPr>
              <w:t>, відмінності дії полум‘я та окропу.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Судово-медичне дослідження обгорілих трупів.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Судово-медична діагностика смерті від переохолодження тіла людини.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Поняття "отрута", "отруєння", "токсикологія".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Класифікація отруєнь.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огляду місця події при підозрі на отруєння.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ексгумації трупа при отруєннях.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Отруєння етиловим алкоголем і його сурогатами.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Отруєння оксидом вуглецю, його ознаки.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Отруєння наркотиками.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Харчові отруєння, їх види, класифікація, зв‘язок із чинним законодавством.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Юридична класифікація тілесних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Тяжкі тілесні ушкодження, ознаки.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Природа небезпеки для життя та її визначення при встановленні тяжких тілесних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Тілесні ушкодження середньої тяжкості та легкі тілесні ушкодження, </w:t>
            </w:r>
            <w:r w:rsidRPr="00E34BC9">
              <w:rPr>
                <w:szCs w:val="22"/>
              </w:rPr>
              <w:lastRenderedPageBreak/>
              <w:t>їх ознаки.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Підстави до судово-медичного огляду живих осіб, організація, методи та документація.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понять "стійка та тимчасова втрата працездатності", "каліцтво", "інвалідність", їх судово-медичне визначення.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понять "симуляція", "агравація", "дисимуляція", "калічення членів”.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Статеві стани як об‘єкт судово-медичного дослідження живої особи, їх види.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Статеві злочини, їх види, особливості судово-медичної експертизи.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понять “</w:t>
            </w:r>
            <w:proofErr w:type="spellStart"/>
            <w:r w:rsidRPr="00E34BC9">
              <w:rPr>
                <w:szCs w:val="22"/>
              </w:rPr>
              <w:t>згвалтування</w:t>
            </w:r>
            <w:proofErr w:type="spellEnd"/>
            <w:r w:rsidRPr="00E34BC9">
              <w:rPr>
                <w:szCs w:val="22"/>
              </w:rPr>
              <w:t xml:space="preserve">”, “Розбещення”, “Розтління”, “насильне </w:t>
            </w:r>
            <w:proofErr w:type="spellStart"/>
            <w:r w:rsidRPr="00E34BC9">
              <w:rPr>
                <w:szCs w:val="22"/>
              </w:rPr>
              <w:t>мужелозство</w:t>
            </w:r>
            <w:proofErr w:type="spellEnd"/>
            <w:r w:rsidRPr="00E34BC9">
              <w:rPr>
                <w:szCs w:val="22"/>
              </w:rPr>
              <w:t>".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терміну "дітовбивство", види цього злочину.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Судово-медична діагностика "</w:t>
            </w:r>
            <w:proofErr w:type="spellStart"/>
            <w:r w:rsidRPr="00E34BC9">
              <w:rPr>
                <w:szCs w:val="22"/>
              </w:rPr>
              <w:t>живонародженості</w:t>
            </w:r>
            <w:proofErr w:type="spellEnd"/>
            <w:r w:rsidRPr="00E34BC9">
              <w:rPr>
                <w:szCs w:val="22"/>
              </w:rPr>
              <w:t>”, “життєздатності”, зрілості дитини.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огляду місця події при дітовбивстві.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Правила вилучення та скерування  речових доказів на лабораторне дослідження в обласне бюро судово-медичної експертизи.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Основні питання, що вирішуються при дослідженні плям крові.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судово-імунологічного дослідження волосся, сперми, сім‘яних рідин.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Види венеричних захворювань, зараження ВІЛ-інфекцією, судово-медичні аспекти їх визначення.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Види судово-медичної експертизи за матеріалами слідчих та судових справ, приводи, форма, особливості.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Види відповідальності медичних працівників за професійні та посадові правопорушення.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судово-медичної експертизи в суді.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Удавані і штучні хвороби, їх судово-медичне визначення.</w:t>
            </w:r>
          </w:p>
          <w:p w:rsidR="00E34BC9" w:rsidRPr="00E34BC9" w:rsidRDefault="00E34BC9" w:rsidP="00E34BC9">
            <w:pPr>
              <w:pStyle w:val="Normal1"/>
              <w:ind w:left="360" w:firstLine="0"/>
              <w:jc w:val="both"/>
              <w:rPr>
                <w:szCs w:val="22"/>
              </w:rPr>
            </w:pPr>
          </w:p>
          <w:p w:rsidR="00F1208C" w:rsidRPr="00E34BC9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208C" w:rsidRPr="00B95420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1208C" w:rsidRPr="00AD153D" w:rsidRDefault="00F1208C" w:rsidP="00F1208C">
      <w:pPr>
        <w:jc w:val="both"/>
        <w:rPr>
          <w:sz w:val="22"/>
          <w:szCs w:val="22"/>
          <w:lang w:val="uk-UA"/>
        </w:rPr>
      </w:pPr>
    </w:p>
    <w:p w:rsidR="00F1208C" w:rsidRPr="00AD153D" w:rsidRDefault="00F1208C" w:rsidP="00F1208C">
      <w:pPr>
        <w:jc w:val="both"/>
        <w:rPr>
          <w:sz w:val="22"/>
          <w:szCs w:val="22"/>
          <w:lang w:val="uk-UA"/>
        </w:rPr>
      </w:pPr>
    </w:p>
    <w:p w:rsidR="00AD153D" w:rsidRPr="00AD153D" w:rsidRDefault="00AD153D" w:rsidP="00AD153D">
      <w:pPr>
        <w:jc w:val="center"/>
        <w:rPr>
          <w:b/>
          <w:bCs/>
          <w:iCs/>
          <w:sz w:val="22"/>
          <w:szCs w:val="22"/>
          <w:lang w:val="uk-UA"/>
        </w:rPr>
      </w:pPr>
      <w:r w:rsidRPr="00AD153D">
        <w:rPr>
          <w:b/>
          <w:bCs/>
          <w:iCs/>
          <w:sz w:val="22"/>
          <w:szCs w:val="22"/>
          <w:lang w:val="uk-UA"/>
        </w:rPr>
        <w:t xml:space="preserve">Теми лекцій </w:t>
      </w:r>
    </w:p>
    <w:p w:rsidR="00AD153D" w:rsidRPr="00AD153D" w:rsidRDefault="00AD153D" w:rsidP="00AD153D">
      <w:pPr>
        <w:jc w:val="center"/>
        <w:rPr>
          <w:sz w:val="22"/>
          <w:szCs w:val="22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98"/>
        <w:gridCol w:w="1418"/>
      </w:tblGrid>
      <w:tr w:rsidR="00AD153D" w:rsidRPr="00AD153D" w:rsidTr="001C632F">
        <w:trPr>
          <w:cantSplit/>
          <w:trHeight w:val="73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№№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Кількість академічних годин</w:t>
            </w:r>
          </w:p>
        </w:tc>
      </w:tr>
      <w:tr w:rsidR="00AD153D" w:rsidRPr="00AD153D" w:rsidTr="001C632F">
        <w:trPr>
          <w:trHeight w:val="221"/>
        </w:trPr>
        <w:tc>
          <w:tcPr>
            <w:tcW w:w="64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98" w:type="dxa"/>
            <w:vAlign w:val="center"/>
          </w:tcPr>
          <w:p w:rsidR="00AD153D" w:rsidRPr="00AD153D" w:rsidRDefault="00AD153D" w:rsidP="001C632F">
            <w:pPr>
              <w:pStyle w:val="Text1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</w:tr>
      <w:tr w:rsidR="00AD153D" w:rsidRPr="00AD153D" w:rsidTr="001C632F">
        <w:trPr>
          <w:trHeight w:val="678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1C632F">
            <w:pPr>
              <w:pStyle w:val="Text1"/>
              <w:widowControl w:val="0"/>
              <w:spacing w:after="0"/>
              <w:ind w:firstLine="0"/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t>Пре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д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мет і зміст су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вої ме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ци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ни. Про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це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су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аль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ні та ор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га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ні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за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цій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ні ос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но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ви су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ної екс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пер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ти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зи в Укра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ї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ні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432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1C632F">
            <w:pPr>
              <w:pStyle w:val="Text1"/>
              <w:widowControl w:val="0"/>
              <w:spacing w:after="0"/>
              <w:ind w:left="708" w:hanging="7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Смерть і тру</w:t>
            </w: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softHyphen/>
              <w:t>п</w:t>
            </w: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softHyphen/>
              <w:t>ні яви</w:t>
            </w: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softHyphen/>
              <w:t>ща. Огляд місця події.</w:t>
            </w:r>
          </w:p>
          <w:p w:rsidR="00AD153D" w:rsidRPr="00AD153D" w:rsidRDefault="00AD153D" w:rsidP="001C632F">
            <w:pPr>
              <w:pStyle w:val="Text1"/>
              <w:widowControl w:val="0"/>
              <w:spacing w:after="0"/>
              <w:ind w:left="708" w:hanging="7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Судово-медичне дослідження трупу.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Дитиновбивство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</w:p>
          <w:p w:rsidR="00AD153D" w:rsidRPr="00AD153D" w:rsidRDefault="00AD153D" w:rsidP="001C632F">
            <w:pPr>
              <w:pStyle w:val="Text1"/>
              <w:widowControl w:val="0"/>
              <w:spacing w:after="0"/>
              <w:ind w:left="708" w:hanging="7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Ексгумація трупу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Су</w:t>
            </w:r>
            <w:r w:rsidRPr="00AD153D">
              <w:rPr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на ха</w:t>
            </w:r>
            <w:r w:rsidRPr="00AD153D">
              <w:rPr>
                <w:sz w:val="22"/>
                <w:szCs w:val="22"/>
                <w:lang w:val="uk-UA"/>
              </w:rPr>
              <w:softHyphen/>
              <w:t>ра</w:t>
            </w:r>
            <w:r w:rsidRPr="00AD153D">
              <w:rPr>
                <w:sz w:val="22"/>
                <w:szCs w:val="22"/>
                <w:lang w:val="uk-UA"/>
              </w:rPr>
              <w:softHyphen/>
              <w:t>к</w:t>
            </w:r>
            <w:r w:rsidRPr="00AD153D">
              <w:rPr>
                <w:sz w:val="22"/>
                <w:szCs w:val="22"/>
                <w:lang w:val="uk-UA"/>
              </w:rPr>
              <w:softHyphen/>
              <w:t>те</w:t>
            </w:r>
            <w:r w:rsidRPr="00AD153D">
              <w:rPr>
                <w:sz w:val="22"/>
                <w:szCs w:val="22"/>
                <w:lang w:val="uk-UA"/>
              </w:rPr>
              <w:softHyphen/>
              <w:t>ри</w:t>
            </w:r>
            <w:r w:rsidRPr="00AD153D">
              <w:rPr>
                <w:sz w:val="22"/>
                <w:szCs w:val="22"/>
                <w:lang w:val="uk-UA"/>
              </w:rPr>
              <w:softHyphen/>
              <w:t>с</w:t>
            </w:r>
            <w:r w:rsidRPr="00AD153D">
              <w:rPr>
                <w:sz w:val="22"/>
                <w:szCs w:val="22"/>
                <w:lang w:val="uk-UA"/>
              </w:rPr>
              <w:softHyphen/>
              <w:t>ти</w:t>
            </w:r>
            <w:r w:rsidRPr="00AD153D">
              <w:rPr>
                <w:sz w:val="22"/>
                <w:szCs w:val="22"/>
                <w:lang w:val="uk-UA"/>
              </w:rPr>
              <w:softHyphen/>
              <w:t>ка ме</w:t>
            </w:r>
            <w:r w:rsidRPr="00AD153D">
              <w:rPr>
                <w:sz w:val="22"/>
                <w:szCs w:val="22"/>
                <w:lang w:val="uk-UA"/>
              </w:rPr>
              <w:softHyphen/>
              <w:t>ха</w:t>
            </w:r>
            <w:r w:rsidRPr="00AD153D">
              <w:rPr>
                <w:sz w:val="22"/>
                <w:szCs w:val="22"/>
                <w:lang w:val="uk-UA"/>
              </w:rPr>
              <w:softHyphen/>
              <w:t>ні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них ушкоджень. При</w:t>
            </w:r>
            <w:r w:rsidRPr="00AD153D">
              <w:rPr>
                <w:sz w:val="22"/>
                <w:szCs w:val="22"/>
                <w:lang w:val="uk-UA"/>
              </w:rPr>
              <w:softHyphen/>
              <w:t>чи</w:t>
            </w:r>
            <w:r w:rsidRPr="00AD153D">
              <w:rPr>
                <w:sz w:val="22"/>
                <w:szCs w:val="22"/>
                <w:lang w:val="uk-UA"/>
              </w:rPr>
              <w:softHyphen/>
              <w:t>ни смер</w:t>
            </w:r>
            <w:r w:rsidRPr="00AD153D">
              <w:rPr>
                <w:sz w:val="22"/>
                <w:szCs w:val="22"/>
                <w:lang w:val="uk-UA"/>
              </w:rPr>
              <w:softHyphen/>
              <w:t>ті внаслідок  ушко</w:t>
            </w:r>
            <w:r w:rsidRPr="00AD153D">
              <w:rPr>
                <w:sz w:val="22"/>
                <w:szCs w:val="22"/>
                <w:lang w:val="uk-UA"/>
              </w:rPr>
              <w:softHyphen/>
              <w:t>джень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666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Су</w:t>
            </w:r>
            <w:r w:rsidRPr="00AD153D">
              <w:rPr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на екс</w:t>
            </w:r>
            <w:r w:rsidRPr="00AD153D">
              <w:rPr>
                <w:sz w:val="22"/>
                <w:szCs w:val="22"/>
                <w:lang w:val="uk-UA"/>
              </w:rPr>
              <w:softHyphen/>
              <w:t>пер</w:t>
            </w:r>
            <w:r w:rsidRPr="00AD153D">
              <w:rPr>
                <w:sz w:val="22"/>
                <w:szCs w:val="22"/>
                <w:lang w:val="uk-UA"/>
              </w:rPr>
              <w:softHyphen/>
              <w:t>ти</w:t>
            </w:r>
            <w:r w:rsidRPr="00AD153D">
              <w:rPr>
                <w:sz w:val="22"/>
                <w:szCs w:val="22"/>
                <w:lang w:val="uk-UA"/>
              </w:rPr>
              <w:softHyphen/>
              <w:t>за ушко</w:t>
            </w:r>
            <w:r w:rsidRPr="00AD153D">
              <w:rPr>
                <w:sz w:val="22"/>
                <w:szCs w:val="22"/>
                <w:lang w:val="uk-UA"/>
              </w:rPr>
              <w:softHyphen/>
              <w:t>джень тупими предметами та го</w:t>
            </w:r>
            <w:r w:rsidRPr="00AD153D">
              <w:rPr>
                <w:sz w:val="22"/>
                <w:szCs w:val="22"/>
                <w:lang w:val="uk-UA"/>
              </w:rPr>
              <w:softHyphen/>
              <w:t>с</w:t>
            </w:r>
            <w:r w:rsidRPr="00AD153D">
              <w:rPr>
                <w:sz w:val="22"/>
                <w:szCs w:val="22"/>
                <w:lang w:val="uk-UA"/>
              </w:rPr>
              <w:softHyphen/>
              <w:t>т</w:t>
            </w:r>
            <w:r w:rsidRPr="00AD153D">
              <w:rPr>
                <w:sz w:val="22"/>
                <w:szCs w:val="22"/>
                <w:lang w:val="uk-UA"/>
              </w:rPr>
              <w:softHyphen/>
              <w:t>ри</w:t>
            </w:r>
            <w:r w:rsidRPr="00AD153D">
              <w:rPr>
                <w:sz w:val="22"/>
                <w:szCs w:val="22"/>
                <w:lang w:val="uk-UA"/>
              </w:rPr>
              <w:softHyphen/>
              <w:t>ми зна</w:t>
            </w:r>
            <w:r w:rsidRPr="00AD153D">
              <w:rPr>
                <w:sz w:val="22"/>
                <w:szCs w:val="22"/>
                <w:lang w:val="uk-UA"/>
              </w:rPr>
              <w:softHyphen/>
              <w:t>ря</w:t>
            </w:r>
            <w:r w:rsidRPr="00AD153D">
              <w:rPr>
                <w:sz w:val="22"/>
                <w:szCs w:val="22"/>
                <w:lang w:val="uk-UA"/>
              </w:rPr>
              <w:softHyphen/>
              <w:t>д</w:t>
            </w:r>
            <w:r w:rsidRPr="00AD153D">
              <w:rPr>
                <w:sz w:val="22"/>
                <w:szCs w:val="22"/>
                <w:lang w:val="uk-UA"/>
              </w:rPr>
              <w:softHyphen/>
              <w:t>дя</w:t>
            </w:r>
            <w:r w:rsidRPr="00AD153D">
              <w:rPr>
                <w:sz w:val="22"/>
                <w:szCs w:val="22"/>
                <w:lang w:val="uk-UA"/>
              </w:rPr>
              <w:softHyphen/>
              <w:t xml:space="preserve">ми.  Додаткові лабораторні дослідження під час виконання експертизи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703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Во</w:t>
            </w:r>
            <w:r w:rsidRPr="00AD153D">
              <w:rPr>
                <w:sz w:val="22"/>
                <w:szCs w:val="22"/>
                <w:lang w:val="uk-UA"/>
              </w:rPr>
              <w:softHyphen/>
              <w:t>г</w:t>
            </w:r>
            <w:r w:rsidRPr="00AD153D">
              <w:rPr>
                <w:sz w:val="22"/>
                <w:szCs w:val="22"/>
                <w:lang w:val="uk-UA"/>
              </w:rPr>
              <w:softHyphen/>
              <w:t>нестрільні ушко</w:t>
            </w:r>
            <w:r w:rsidRPr="00AD153D">
              <w:rPr>
                <w:sz w:val="22"/>
                <w:szCs w:val="22"/>
                <w:lang w:val="uk-UA"/>
              </w:rPr>
              <w:softHyphen/>
              <w:t>джен</w:t>
            </w:r>
            <w:r w:rsidRPr="00AD153D">
              <w:rPr>
                <w:sz w:val="22"/>
                <w:szCs w:val="22"/>
                <w:lang w:val="uk-UA"/>
              </w:rPr>
              <w:softHyphen/>
              <w:t xml:space="preserve">ня. Медико-криміналістичні дослідження у експертній практиці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703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1C632F">
            <w:pPr>
              <w:widowControl w:val="0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Роз</w:t>
            </w:r>
            <w:r w:rsidRPr="00AD153D">
              <w:rPr>
                <w:sz w:val="22"/>
                <w:szCs w:val="22"/>
                <w:lang w:val="uk-UA"/>
              </w:rPr>
              <w:softHyphen/>
              <w:t>лад здо</w:t>
            </w:r>
            <w:r w:rsidRPr="00AD153D">
              <w:rPr>
                <w:sz w:val="22"/>
                <w:szCs w:val="22"/>
                <w:lang w:val="uk-UA"/>
              </w:rPr>
              <w:softHyphen/>
              <w:t>ро</w:t>
            </w:r>
            <w:r w:rsidRPr="00AD153D">
              <w:rPr>
                <w:sz w:val="22"/>
                <w:szCs w:val="22"/>
                <w:lang w:val="uk-UA"/>
              </w:rPr>
              <w:softHyphen/>
              <w:t>в'я і смерть внаслідок го</w:t>
            </w:r>
            <w:r w:rsidRPr="00AD153D">
              <w:rPr>
                <w:sz w:val="22"/>
                <w:szCs w:val="22"/>
                <w:lang w:val="uk-UA"/>
              </w:rPr>
              <w:softHyphen/>
              <w:t>с</w:t>
            </w:r>
            <w:r w:rsidRPr="00AD153D">
              <w:rPr>
                <w:sz w:val="22"/>
                <w:szCs w:val="22"/>
                <w:lang w:val="uk-UA"/>
              </w:rPr>
              <w:softHyphen/>
              <w:t>т</w:t>
            </w:r>
            <w:r w:rsidRPr="00AD153D">
              <w:rPr>
                <w:sz w:val="22"/>
                <w:szCs w:val="22"/>
                <w:lang w:val="uk-UA"/>
              </w:rPr>
              <w:softHyphen/>
              <w:t>ро</w:t>
            </w:r>
            <w:r w:rsidRPr="00AD153D">
              <w:rPr>
                <w:sz w:val="22"/>
                <w:szCs w:val="22"/>
                <w:lang w:val="uk-UA"/>
              </w:rPr>
              <w:softHyphen/>
              <w:t>го ки</w:t>
            </w:r>
            <w:r w:rsidRPr="00AD153D">
              <w:rPr>
                <w:sz w:val="22"/>
                <w:szCs w:val="22"/>
                <w:lang w:val="uk-UA"/>
              </w:rPr>
              <w:softHyphen/>
              <w:t>с</w:t>
            </w:r>
            <w:r w:rsidRPr="00AD153D">
              <w:rPr>
                <w:sz w:val="22"/>
                <w:szCs w:val="22"/>
                <w:lang w:val="uk-UA"/>
              </w:rPr>
              <w:softHyphen/>
              <w:t>не</w:t>
            </w:r>
            <w:r w:rsidRPr="00AD153D">
              <w:rPr>
                <w:sz w:val="22"/>
                <w:szCs w:val="22"/>
                <w:lang w:val="uk-UA"/>
              </w:rPr>
              <w:softHyphen/>
              <w:t>во</w:t>
            </w:r>
            <w:r w:rsidRPr="00AD153D">
              <w:rPr>
                <w:sz w:val="22"/>
                <w:szCs w:val="22"/>
                <w:lang w:val="uk-UA"/>
              </w:rPr>
              <w:softHyphen/>
              <w:t>го го</w:t>
            </w:r>
            <w:r w:rsidRPr="00AD153D">
              <w:rPr>
                <w:sz w:val="22"/>
                <w:szCs w:val="22"/>
                <w:lang w:val="uk-UA"/>
              </w:rPr>
              <w:softHyphen/>
              <w:t>ло</w:t>
            </w:r>
            <w:r w:rsidRPr="00AD153D">
              <w:rPr>
                <w:sz w:val="22"/>
                <w:szCs w:val="22"/>
                <w:lang w:val="uk-UA"/>
              </w:rPr>
              <w:softHyphen/>
              <w:t>ду</w:t>
            </w:r>
            <w:r w:rsidRPr="00AD153D">
              <w:rPr>
                <w:sz w:val="22"/>
                <w:szCs w:val="22"/>
                <w:lang w:val="uk-UA"/>
              </w:rPr>
              <w:softHyphen/>
              <w:t>ван</w:t>
            </w:r>
            <w:r w:rsidRPr="00AD153D">
              <w:rPr>
                <w:sz w:val="22"/>
                <w:szCs w:val="22"/>
                <w:lang w:val="uk-UA"/>
              </w:rPr>
              <w:softHyphen/>
              <w:t>ня (асфіксія). Роз</w:t>
            </w:r>
            <w:r w:rsidRPr="00AD153D">
              <w:rPr>
                <w:sz w:val="22"/>
                <w:szCs w:val="22"/>
                <w:lang w:val="uk-UA"/>
              </w:rPr>
              <w:softHyphen/>
              <w:t>лад здо</w:t>
            </w:r>
            <w:r w:rsidRPr="00AD153D">
              <w:rPr>
                <w:sz w:val="22"/>
                <w:szCs w:val="22"/>
                <w:lang w:val="uk-UA"/>
              </w:rPr>
              <w:softHyphen/>
              <w:t>ро</w:t>
            </w:r>
            <w:r w:rsidRPr="00AD153D">
              <w:rPr>
                <w:sz w:val="22"/>
                <w:szCs w:val="22"/>
                <w:lang w:val="uk-UA"/>
              </w:rPr>
              <w:softHyphen/>
              <w:t>в'я та смерть в результаті дії різних чинників довкілля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704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Ушко</w:t>
            </w:r>
            <w:r w:rsidRPr="00AD153D">
              <w:rPr>
                <w:sz w:val="22"/>
                <w:szCs w:val="22"/>
                <w:lang w:val="uk-UA"/>
              </w:rPr>
              <w:softHyphen/>
              <w:t>джен</w:t>
            </w:r>
            <w:r w:rsidRPr="00AD153D">
              <w:rPr>
                <w:sz w:val="22"/>
                <w:szCs w:val="22"/>
                <w:lang w:val="uk-UA"/>
              </w:rPr>
              <w:softHyphen/>
              <w:t>ня, роз</w:t>
            </w:r>
            <w:r w:rsidRPr="00AD153D">
              <w:rPr>
                <w:sz w:val="22"/>
                <w:szCs w:val="22"/>
                <w:lang w:val="uk-UA"/>
              </w:rPr>
              <w:softHyphen/>
              <w:t>лад здо</w:t>
            </w:r>
            <w:r w:rsidRPr="00AD153D">
              <w:rPr>
                <w:sz w:val="22"/>
                <w:szCs w:val="22"/>
                <w:lang w:val="uk-UA"/>
              </w:rPr>
              <w:softHyphen/>
              <w:t>ро</w:t>
            </w:r>
            <w:r w:rsidRPr="00AD153D">
              <w:rPr>
                <w:sz w:val="22"/>
                <w:szCs w:val="22"/>
                <w:lang w:val="uk-UA"/>
              </w:rPr>
              <w:softHyphen/>
              <w:t>в'я та смерть внаслідок дії хі</w:t>
            </w:r>
            <w:r w:rsidRPr="00AD153D">
              <w:rPr>
                <w:sz w:val="22"/>
                <w:szCs w:val="22"/>
                <w:lang w:val="uk-UA"/>
              </w:rPr>
              <w:softHyphen/>
              <w:t>мі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них ре</w:t>
            </w:r>
            <w:r w:rsidRPr="00AD153D">
              <w:rPr>
                <w:sz w:val="22"/>
                <w:szCs w:val="22"/>
                <w:lang w:val="uk-UA"/>
              </w:rPr>
              <w:softHyphen/>
              <w:t>чо</w:t>
            </w:r>
            <w:r w:rsidRPr="00AD153D">
              <w:rPr>
                <w:sz w:val="22"/>
                <w:szCs w:val="22"/>
                <w:lang w:val="uk-UA"/>
              </w:rPr>
              <w:softHyphen/>
              <w:t>вин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760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Су</w:t>
            </w:r>
            <w:r w:rsidRPr="00AD153D">
              <w:rPr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не об</w:t>
            </w:r>
            <w:r w:rsidRPr="00AD153D">
              <w:rPr>
                <w:sz w:val="22"/>
                <w:szCs w:val="22"/>
                <w:lang w:val="uk-UA"/>
              </w:rPr>
              <w:softHyphen/>
              <w:t>сте</w:t>
            </w:r>
            <w:r w:rsidRPr="00AD153D">
              <w:rPr>
                <w:sz w:val="22"/>
                <w:szCs w:val="22"/>
                <w:lang w:val="uk-UA"/>
              </w:rPr>
              <w:softHyphen/>
              <w:t>жен</w:t>
            </w:r>
            <w:r w:rsidRPr="00AD153D">
              <w:rPr>
                <w:sz w:val="22"/>
                <w:szCs w:val="22"/>
                <w:lang w:val="uk-UA"/>
              </w:rPr>
              <w:softHyphen/>
              <w:t>ня (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ос</w:t>
            </w:r>
            <w:r w:rsidRPr="00AD153D">
              <w:rPr>
                <w:sz w:val="22"/>
                <w:szCs w:val="22"/>
                <w:lang w:val="uk-UA"/>
              </w:rPr>
              <w:softHyphen/>
              <w:t>ві</w:t>
            </w:r>
            <w:r w:rsidRPr="00AD153D">
              <w:rPr>
                <w:sz w:val="22"/>
                <w:szCs w:val="22"/>
                <w:lang w:val="uk-UA"/>
              </w:rPr>
              <w:softHyphen/>
              <w:t>ду</w:t>
            </w:r>
            <w:r w:rsidRPr="00AD153D">
              <w:rPr>
                <w:sz w:val="22"/>
                <w:szCs w:val="22"/>
                <w:lang w:val="uk-UA"/>
              </w:rPr>
              <w:softHyphen/>
              <w:t>ван</w:t>
            </w:r>
            <w:r w:rsidRPr="00AD153D">
              <w:rPr>
                <w:sz w:val="22"/>
                <w:szCs w:val="22"/>
                <w:lang w:val="uk-UA"/>
              </w:rPr>
              <w:softHyphen/>
              <w:t>ня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) по</w:t>
            </w:r>
            <w:r w:rsidRPr="00AD153D">
              <w:rPr>
                <w:sz w:val="22"/>
                <w:szCs w:val="22"/>
                <w:lang w:val="uk-UA"/>
              </w:rPr>
              <w:softHyphen/>
              <w:t>тер</w:t>
            </w:r>
            <w:r w:rsidRPr="00AD153D">
              <w:rPr>
                <w:sz w:val="22"/>
                <w:szCs w:val="22"/>
                <w:lang w:val="uk-UA"/>
              </w:rPr>
              <w:softHyphen/>
              <w:t>пі</w:t>
            </w:r>
            <w:r w:rsidRPr="00AD153D">
              <w:rPr>
                <w:sz w:val="22"/>
                <w:szCs w:val="22"/>
                <w:lang w:val="uk-UA"/>
              </w:rPr>
              <w:softHyphen/>
              <w:t>лих, об</w:t>
            </w:r>
            <w:r w:rsidRPr="00AD153D">
              <w:rPr>
                <w:sz w:val="22"/>
                <w:szCs w:val="22"/>
                <w:lang w:val="uk-UA"/>
              </w:rPr>
              <w:softHyphen/>
              <w:t>ви</w:t>
            </w:r>
            <w:r w:rsidRPr="00AD153D">
              <w:rPr>
                <w:sz w:val="22"/>
                <w:szCs w:val="22"/>
                <w:lang w:val="uk-UA"/>
              </w:rPr>
              <w:softHyphen/>
              <w:t>ну</w:t>
            </w:r>
            <w:r w:rsidRPr="00AD153D">
              <w:rPr>
                <w:sz w:val="22"/>
                <w:szCs w:val="22"/>
                <w:lang w:val="uk-UA"/>
              </w:rPr>
              <w:softHyphen/>
              <w:t>ва</w:t>
            </w:r>
            <w:r w:rsidRPr="00AD153D">
              <w:rPr>
                <w:sz w:val="22"/>
                <w:szCs w:val="22"/>
                <w:lang w:val="uk-UA"/>
              </w:rPr>
              <w:softHyphen/>
              <w:t>че</w:t>
            </w:r>
            <w:r w:rsidRPr="00AD153D">
              <w:rPr>
                <w:sz w:val="22"/>
                <w:szCs w:val="22"/>
                <w:lang w:val="uk-UA"/>
              </w:rPr>
              <w:softHyphen/>
              <w:t>них на ін</w:t>
            </w:r>
            <w:r w:rsidRPr="00AD153D">
              <w:rPr>
                <w:sz w:val="22"/>
                <w:szCs w:val="22"/>
                <w:lang w:val="uk-UA"/>
              </w:rPr>
              <w:softHyphen/>
              <w:t>ших осіб Су</w:t>
            </w:r>
            <w:r w:rsidRPr="00AD153D">
              <w:rPr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не до</w:t>
            </w:r>
            <w:r w:rsidRPr="00AD153D">
              <w:rPr>
                <w:sz w:val="22"/>
                <w:szCs w:val="22"/>
                <w:lang w:val="uk-UA"/>
              </w:rPr>
              <w:softHyphen/>
              <w:t>слі</w:t>
            </w:r>
            <w:r w:rsidRPr="00AD153D">
              <w:rPr>
                <w:sz w:val="22"/>
                <w:szCs w:val="22"/>
                <w:lang w:val="uk-UA"/>
              </w:rPr>
              <w:softHyphen/>
              <w:t>джен</w:t>
            </w:r>
            <w:r w:rsidRPr="00AD153D">
              <w:rPr>
                <w:sz w:val="22"/>
                <w:szCs w:val="22"/>
                <w:lang w:val="uk-UA"/>
              </w:rPr>
              <w:softHyphen/>
              <w:t>ня ре</w:t>
            </w:r>
            <w:r w:rsidRPr="00AD153D">
              <w:rPr>
                <w:sz w:val="22"/>
                <w:szCs w:val="22"/>
                <w:lang w:val="uk-UA"/>
              </w:rPr>
              <w:softHyphen/>
              <w:t>чо</w:t>
            </w:r>
            <w:r w:rsidRPr="00AD153D">
              <w:rPr>
                <w:sz w:val="22"/>
                <w:szCs w:val="22"/>
                <w:lang w:val="uk-UA"/>
              </w:rPr>
              <w:softHyphen/>
              <w:t>вих дока</w:t>
            </w:r>
            <w:r w:rsidRPr="00AD153D">
              <w:rPr>
                <w:sz w:val="22"/>
                <w:szCs w:val="22"/>
                <w:lang w:val="uk-UA"/>
              </w:rPr>
              <w:softHyphen/>
              <w:t>зів Су</w:t>
            </w:r>
            <w:r w:rsidRPr="00AD153D">
              <w:rPr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на екс</w:t>
            </w:r>
            <w:r w:rsidRPr="00AD153D">
              <w:rPr>
                <w:sz w:val="22"/>
                <w:szCs w:val="22"/>
                <w:lang w:val="uk-UA"/>
              </w:rPr>
              <w:softHyphen/>
              <w:t>пер</w:t>
            </w:r>
            <w:r w:rsidRPr="00AD153D">
              <w:rPr>
                <w:sz w:val="22"/>
                <w:szCs w:val="22"/>
                <w:lang w:val="uk-UA"/>
              </w:rPr>
              <w:softHyphen/>
              <w:t>ти</w:t>
            </w:r>
            <w:r w:rsidRPr="00AD153D">
              <w:rPr>
                <w:sz w:val="22"/>
                <w:szCs w:val="22"/>
                <w:lang w:val="uk-UA"/>
              </w:rPr>
              <w:softHyphen/>
              <w:t>за за ма</w:t>
            </w:r>
            <w:r w:rsidRPr="00AD153D">
              <w:rPr>
                <w:sz w:val="22"/>
                <w:szCs w:val="22"/>
                <w:lang w:val="uk-UA"/>
              </w:rPr>
              <w:softHyphen/>
              <w:t>те</w:t>
            </w:r>
            <w:r w:rsidRPr="00AD153D">
              <w:rPr>
                <w:sz w:val="22"/>
                <w:szCs w:val="22"/>
                <w:lang w:val="uk-UA"/>
              </w:rPr>
              <w:softHyphen/>
              <w:t>рі</w:t>
            </w:r>
            <w:r w:rsidRPr="00AD153D">
              <w:rPr>
                <w:sz w:val="22"/>
                <w:szCs w:val="22"/>
                <w:lang w:val="uk-UA"/>
              </w:rPr>
              <w:softHyphen/>
              <w:t>а</w:t>
            </w:r>
            <w:r w:rsidRPr="00AD153D">
              <w:rPr>
                <w:sz w:val="22"/>
                <w:szCs w:val="22"/>
                <w:lang w:val="uk-UA"/>
              </w:rPr>
              <w:softHyphen/>
              <w:t>ла</w:t>
            </w:r>
            <w:r w:rsidRPr="00AD153D">
              <w:rPr>
                <w:sz w:val="22"/>
                <w:szCs w:val="22"/>
                <w:lang w:val="uk-UA"/>
              </w:rPr>
              <w:softHyphen/>
              <w:t>ми кримінальних, цивільних, адміні</w:t>
            </w:r>
            <w:r w:rsidRPr="00AD153D">
              <w:rPr>
                <w:sz w:val="22"/>
                <w:szCs w:val="22"/>
                <w:lang w:val="uk-UA"/>
              </w:rPr>
              <w:softHyphen/>
              <w:t>стра</w:t>
            </w:r>
            <w:r w:rsidRPr="00AD153D">
              <w:rPr>
                <w:sz w:val="22"/>
                <w:szCs w:val="22"/>
                <w:lang w:val="uk-UA"/>
              </w:rPr>
              <w:softHyphen/>
              <w:t>тивних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419"/>
        </w:trPr>
        <w:tc>
          <w:tcPr>
            <w:tcW w:w="64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bCs/>
                <w:sz w:val="22"/>
                <w:szCs w:val="22"/>
                <w:lang w:val="uk-UA"/>
              </w:rPr>
            </w:pPr>
            <w:r w:rsidRPr="00AD153D">
              <w:rPr>
                <w:bCs/>
                <w:sz w:val="22"/>
                <w:szCs w:val="22"/>
                <w:lang w:val="uk-UA"/>
              </w:rPr>
              <w:t>16</w:t>
            </w:r>
          </w:p>
        </w:tc>
      </w:tr>
    </w:tbl>
    <w:p w:rsidR="00AD153D" w:rsidRPr="00AD153D" w:rsidRDefault="00AD153D" w:rsidP="00AD153D">
      <w:pPr>
        <w:rPr>
          <w:sz w:val="22"/>
          <w:szCs w:val="22"/>
          <w:lang w:val="uk-UA"/>
        </w:rPr>
      </w:pPr>
    </w:p>
    <w:p w:rsidR="00AD153D" w:rsidRPr="00AD153D" w:rsidRDefault="00AD153D" w:rsidP="00AD153D">
      <w:pPr>
        <w:jc w:val="center"/>
        <w:rPr>
          <w:b/>
          <w:bCs/>
          <w:iCs/>
          <w:sz w:val="22"/>
          <w:szCs w:val="22"/>
          <w:lang w:val="uk-UA"/>
        </w:rPr>
      </w:pPr>
      <w:r w:rsidRPr="00AD153D">
        <w:rPr>
          <w:b/>
          <w:bCs/>
          <w:iCs/>
          <w:sz w:val="22"/>
          <w:szCs w:val="22"/>
          <w:lang w:val="uk-UA"/>
        </w:rPr>
        <w:t>Теми практичних занять</w:t>
      </w:r>
    </w:p>
    <w:p w:rsidR="00AD153D" w:rsidRPr="00AD153D" w:rsidRDefault="00AD153D" w:rsidP="00AD153D">
      <w:pPr>
        <w:jc w:val="center"/>
        <w:rPr>
          <w:b/>
          <w:sz w:val="22"/>
          <w:szCs w:val="22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372"/>
        <w:gridCol w:w="1418"/>
      </w:tblGrid>
      <w:tr w:rsidR="00AD153D" w:rsidRPr="00AD153D" w:rsidTr="001C632F">
        <w:tc>
          <w:tcPr>
            <w:tcW w:w="674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№№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Кількість академічних годин</w:t>
            </w:r>
          </w:p>
        </w:tc>
      </w:tr>
      <w:tr w:rsidR="00AD153D" w:rsidRPr="00AD153D" w:rsidTr="001C632F">
        <w:trPr>
          <w:trHeight w:val="70"/>
        </w:trPr>
        <w:tc>
          <w:tcPr>
            <w:tcW w:w="674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4</w:t>
            </w:r>
          </w:p>
        </w:tc>
      </w:tr>
      <w:tr w:rsidR="00AD153D" w:rsidRPr="00AD153D" w:rsidTr="001C632F">
        <w:tc>
          <w:tcPr>
            <w:tcW w:w="674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Процесуальні та організаційні основи судово-медичної  експертизи в Україні. Нормативні акти, які забезпечують їх виконання. Об‘єкти судово-медичної експертизи. Документація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475"/>
        </w:trPr>
        <w:tc>
          <w:tcPr>
            <w:tcW w:w="674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Показове судово-медичне дослідження трупу (відеофільм)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475"/>
        </w:trPr>
        <w:tc>
          <w:tcPr>
            <w:tcW w:w="674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Аманоліз судово-медичної документації стосовно дослідження трупів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553"/>
        </w:trPr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Огляд трупу на місці його знаходження.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445"/>
        </w:trPr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Складання протоколу огляду місця події з описом трупа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445"/>
        </w:trPr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Механічні ушкодження. Причини настання смерті від них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441"/>
        </w:trPr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Юридична кваліфікація тілесних ушкоджень. Правила їх визначення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Вирішення ситуаційних задач стосовно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ступення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тяжкості тілесних ушкоджень потерпілих.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Судово-медична характеристика ушкоджень тупими предметами та гострими знаряддями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Вогнестрільні ушкодження, експертні дослідження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Розлад здоров’я і смерть від гострого кисневого голодування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Ушкодження, розлад здоров’я та смерть в наслідок дії хімічних речовин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Судово-медичне обстеження, (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освідування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) потерпілих обвинувачених та інших осіб.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Експертизі речових доказів біологічного походження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Аналіз судово-медичної документації стосовно живих осіб, трупів, матеріалів кримінальних справ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c>
          <w:tcPr>
            <w:tcW w:w="674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1C632F">
        <w:trPr>
          <w:trHeight w:val="343"/>
        </w:trPr>
        <w:tc>
          <w:tcPr>
            <w:tcW w:w="674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vAlign w:val="center"/>
          </w:tcPr>
          <w:p w:rsidR="00AD153D" w:rsidRPr="00AD153D" w:rsidRDefault="00AD153D" w:rsidP="001C632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D153D">
              <w:rPr>
                <w:bCs/>
                <w:sz w:val="22"/>
                <w:szCs w:val="22"/>
                <w:lang w:val="uk-UA"/>
              </w:rPr>
              <w:t>32</w:t>
            </w:r>
          </w:p>
        </w:tc>
      </w:tr>
    </w:tbl>
    <w:p w:rsidR="00AD153D" w:rsidRPr="00AD153D" w:rsidRDefault="00AD153D" w:rsidP="00AD153D">
      <w:pPr>
        <w:ind w:firstLine="709"/>
        <w:rPr>
          <w:b/>
          <w:bCs/>
          <w:i/>
          <w:iCs/>
          <w:sz w:val="22"/>
          <w:szCs w:val="22"/>
          <w:lang w:val="uk-UA"/>
        </w:rPr>
      </w:pPr>
    </w:p>
    <w:p w:rsidR="00AD153D" w:rsidRPr="00AD153D" w:rsidRDefault="00AD153D" w:rsidP="00AD153D">
      <w:pPr>
        <w:jc w:val="center"/>
        <w:rPr>
          <w:b/>
          <w:bCs/>
          <w:iCs/>
          <w:sz w:val="22"/>
          <w:szCs w:val="22"/>
          <w:lang w:val="uk-UA"/>
        </w:rPr>
      </w:pPr>
      <w:r w:rsidRPr="00AD153D">
        <w:rPr>
          <w:b/>
          <w:bCs/>
          <w:iCs/>
          <w:sz w:val="22"/>
          <w:szCs w:val="22"/>
          <w:lang w:val="uk-UA"/>
        </w:rPr>
        <w:t>Теми для самостійного вивчення</w:t>
      </w:r>
    </w:p>
    <w:p w:rsidR="00AD153D" w:rsidRPr="00AD153D" w:rsidRDefault="00AD153D" w:rsidP="00AD153D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371"/>
        <w:gridCol w:w="1418"/>
      </w:tblGrid>
      <w:tr w:rsidR="00AD153D" w:rsidRPr="00AD153D" w:rsidTr="001C632F">
        <w:tc>
          <w:tcPr>
            <w:tcW w:w="675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№№</w:t>
            </w:r>
          </w:p>
        </w:tc>
        <w:tc>
          <w:tcPr>
            <w:tcW w:w="7371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AD153D" w:rsidRPr="00AD153D" w:rsidTr="001C632F">
        <w:trPr>
          <w:trHeight w:val="555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1C632F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D153D">
              <w:rPr>
                <w:sz w:val="22"/>
                <w:szCs w:val="22"/>
                <w:lang w:val="uk-UA"/>
              </w:rPr>
              <w:t>Дитиновбиство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згідно чинного кримінального законодавства. Судово-медичне дослідження трупів плодів та новонароджених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</w:tr>
      <w:tr w:rsidR="00AD153D" w:rsidRPr="00AD153D" w:rsidTr="001C632F">
        <w:trPr>
          <w:trHeight w:val="555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1C632F">
            <w:pPr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Раптова смерть, як об'єкт правової оцінки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</w:tr>
      <w:tr w:rsidR="00AD153D" w:rsidRPr="00AD153D" w:rsidTr="001C632F">
        <w:trPr>
          <w:trHeight w:val="360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Ексгумація, судово-медична експертиза ексгумованого трупу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</w:tr>
      <w:tr w:rsidR="00AD153D" w:rsidRPr="00AD153D" w:rsidTr="001C632F">
        <w:trPr>
          <w:trHeight w:val="360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Дорожньо-транспортний травматизм, види, класифікація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1C632F">
        <w:trPr>
          <w:trHeight w:val="360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Статеві стани та статеві злочини в кримінальному процесі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1C632F">
        <w:trPr>
          <w:trHeight w:val="360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Медико-криміналістичні дослідження в експертній практиці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1C632F">
        <w:trPr>
          <w:trHeight w:val="360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Венеричні хвороби, зараження  ВІЛ-інфекцією, судово-медичні аспекти їх визначення.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1C632F"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1C632F">
            <w:pPr>
              <w:jc w:val="both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Шкода здоров'ю в кримінальному та цивільному процесах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1C632F"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Правове регулювання медичних та судово-медичних експертиз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</w:tr>
      <w:tr w:rsidR="00AD153D" w:rsidRPr="00AD153D" w:rsidTr="001C632F">
        <w:trPr>
          <w:trHeight w:val="368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1C632F">
            <w:pPr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Види кримінальної,  цивільної та адміністративної відповідальності медичних працівників за професійні та посадові правопорушення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1C632F">
        <w:trPr>
          <w:trHeight w:val="64"/>
        </w:trPr>
        <w:tc>
          <w:tcPr>
            <w:tcW w:w="94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53D" w:rsidRPr="00AD153D" w:rsidRDefault="00AD153D" w:rsidP="001C632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153D" w:rsidRPr="00AD153D" w:rsidTr="001C632F">
        <w:trPr>
          <w:trHeight w:val="403"/>
        </w:trPr>
        <w:tc>
          <w:tcPr>
            <w:tcW w:w="675" w:type="dxa"/>
            <w:tcBorders>
              <w:top w:val="nil"/>
            </w:tcBorders>
            <w:vAlign w:val="center"/>
          </w:tcPr>
          <w:p w:rsidR="00AD153D" w:rsidRPr="00AD153D" w:rsidRDefault="00AD153D" w:rsidP="001C632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AD153D" w:rsidRPr="00AD153D" w:rsidRDefault="00AD153D" w:rsidP="001C632F">
            <w:pPr>
              <w:rPr>
                <w:bCs/>
                <w:sz w:val="22"/>
                <w:szCs w:val="22"/>
                <w:lang w:val="uk-UA"/>
              </w:rPr>
            </w:pPr>
            <w:r w:rsidRPr="00AD153D">
              <w:rPr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D153D" w:rsidRPr="00AD153D" w:rsidRDefault="00AD153D" w:rsidP="001C63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D153D">
              <w:rPr>
                <w:bCs/>
                <w:sz w:val="22"/>
                <w:szCs w:val="22"/>
                <w:lang w:val="uk-UA"/>
              </w:rPr>
              <w:t>56</w:t>
            </w:r>
          </w:p>
        </w:tc>
      </w:tr>
    </w:tbl>
    <w:p w:rsidR="00AD153D" w:rsidRPr="00AD153D" w:rsidRDefault="00AD153D" w:rsidP="00AD153D">
      <w:pPr>
        <w:rPr>
          <w:sz w:val="22"/>
          <w:szCs w:val="22"/>
          <w:lang w:val="uk-UA"/>
        </w:rPr>
      </w:pPr>
    </w:p>
    <w:p w:rsidR="00F1208C" w:rsidRPr="00AD153D" w:rsidRDefault="00F1208C" w:rsidP="00F1208C">
      <w:pPr>
        <w:jc w:val="both"/>
        <w:rPr>
          <w:i/>
          <w:sz w:val="22"/>
          <w:szCs w:val="22"/>
          <w:lang w:val="uk-UA"/>
        </w:rPr>
      </w:pPr>
    </w:p>
    <w:p w:rsidR="00F1208C" w:rsidRPr="00AD153D" w:rsidRDefault="00F1208C" w:rsidP="00F1208C">
      <w:pPr>
        <w:jc w:val="both"/>
        <w:rPr>
          <w:i/>
          <w:sz w:val="22"/>
          <w:szCs w:val="22"/>
          <w:lang w:val="uk-UA"/>
        </w:rPr>
      </w:pPr>
    </w:p>
    <w:p w:rsidR="00F1208C" w:rsidRPr="00AD153D" w:rsidRDefault="00F1208C" w:rsidP="00F1208C">
      <w:pPr>
        <w:rPr>
          <w:sz w:val="22"/>
          <w:szCs w:val="22"/>
          <w:lang w:val="uk-UA"/>
        </w:rPr>
      </w:pPr>
    </w:p>
    <w:p w:rsidR="00D45C92" w:rsidRPr="00AD153D" w:rsidRDefault="00D45C92">
      <w:pPr>
        <w:rPr>
          <w:sz w:val="22"/>
          <w:szCs w:val="22"/>
        </w:rPr>
      </w:pPr>
    </w:p>
    <w:p w:rsidR="0066585F" w:rsidRPr="00AD153D" w:rsidRDefault="0066585F">
      <w:pPr>
        <w:rPr>
          <w:sz w:val="22"/>
          <w:szCs w:val="22"/>
        </w:rPr>
      </w:pPr>
    </w:p>
    <w:p w:rsidR="0066585F" w:rsidRPr="00AD153D" w:rsidRDefault="0066585F">
      <w:pPr>
        <w:rPr>
          <w:sz w:val="22"/>
          <w:szCs w:val="22"/>
        </w:rPr>
      </w:pPr>
    </w:p>
    <w:p w:rsidR="0066585F" w:rsidRPr="00AD153D" w:rsidRDefault="0066585F">
      <w:pPr>
        <w:rPr>
          <w:sz w:val="22"/>
          <w:szCs w:val="22"/>
        </w:rPr>
      </w:pPr>
    </w:p>
    <w:p w:rsidR="0066585F" w:rsidRPr="00AD153D" w:rsidRDefault="0066585F">
      <w:pPr>
        <w:rPr>
          <w:sz w:val="22"/>
          <w:szCs w:val="22"/>
        </w:rPr>
      </w:pPr>
    </w:p>
    <w:p w:rsidR="0066585F" w:rsidRPr="00AD153D" w:rsidRDefault="0066585F">
      <w:pPr>
        <w:rPr>
          <w:sz w:val="22"/>
          <w:szCs w:val="22"/>
        </w:rPr>
      </w:pPr>
    </w:p>
    <w:p w:rsidR="0066585F" w:rsidRDefault="0066585F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F63F43" w:rsidRDefault="00F63F43">
      <w:pPr>
        <w:rPr>
          <w:sz w:val="22"/>
          <w:szCs w:val="22"/>
        </w:rPr>
      </w:pPr>
    </w:p>
    <w:p w:rsidR="00F63F43" w:rsidRDefault="00F63F43">
      <w:pPr>
        <w:rPr>
          <w:sz w:val="22"/>
          <w:szCs w:val="22"/>
        </w:rPr>
      </w:pPr>
    </w:p>
    <w:p w:rsidR="00F63F43" w:rsidRDefault="00F63F43">
      <w:pPr>
        <w:rPr>
          <w:sz w:val="22"/>
          <w:szCs w:val="22"/>
        </w:rPr>
      </w:pPr>
    </w:p>
    <w:p w:rsidR="00F63F43" w:rsidRDefault="00F63F43">
      <w:pPr>
        <w:rPr>
          <w:sz w:val="22"/>
          <w:szCs w:val="22"/>
        </w:rPr>
      </w:pPr>
    </w:p>
    <w:p w:rsidR="001C632F" w:rsidRDefault="001C632F">
      <w:pPr>
        <w:rPr>
          <w:sz w:val="22"/>
          <w:szCs w:val="22"/>
        </w:rPr>
      </w:pPr>
    </w:p>
    <w:p w:rsidR="001C632F" w:rsidRDefault="001C632F">
      <w:pPr>
        <w:rPr>
          <w:sz w:val="22"/>
          <w:szCs w:val="22"/>
        </w:rPr>
      </w:pPr>
    </w:p>
    <w:p w:rsidR="001C632F" w:rsidRDefault="001C632F">
      <w:pPr>
        <w:rPr>
          <w:sz w:val="22"/>
          <w:szCs w:val="22"/>
        </w:rPr>
      </w:pPr>
    </w:p>
    <w:p w:rsidR="001C632F" w:rsidRDefault="001C632F">
      <w:pPr>
        <w:rPr>
          <w:sz w:val="22"/>
          <w:szCs w:val="22"/>
        </w:rPr>
      </w:pPr>
    </w:p>
    <w:p w:rsidR="001C632F" w:rsidRDefault="001C632F">
      <w:pPr>
        <w:rPr>
          <w:sz w:val="22"/>
          <w:szCs w:val="22"/>
        </w:rPr>
      </w:pPr>
    </w:p>
    <w:p w:rsidR="001C632F" w:rsidRDefault="001C632F">
      <w:pPr>
        <w:rPr>
          <w:sz w:val="22"/>
          <w:szCs w:val="22"/>
        </w:rPr>
      </w:pPr>
    </w:p>
    <w:p w:rsidR="001C632F" w:rsidRPr="00AD153D" w:rsidRDefault="001C632F">
      <w:pPr>
        <w:rPr>
          <w:sz w:val="22"/>
          <w:szCs w:val="22"/>
        </w:rPr>
      </w:pPr>
      <w:bookmarkStart w:id="0" w:name="_GoBack"/>
      <w:bookmarkEnd w:id="0"/>
    </w:p>
    <w:sectPr w:rsidR="001C632F" w:rsidRPr="00AD1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810"/>
    <w:multiLevelType w:val="hybridMultilevel"/>
    <w:tmpl w:val="318291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0093C"/>
    <w:multiLevelType w:val="singleLevel"/>
    <w:tmpl w:val="68CA6C7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7B911D3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E753F6B"/>
    <w:multiLevelType w:val="hybridMultilevel"/>
    <w:tmpl w:val="6F44087A"/>
    <w:lvl w:ilvl="0" w:tplc="7A741386">
      <w:start w:val="1"/>
      <w:numFmt w:val="decimal"/>
      <w:lvlText w:val="%1."/>
      <w:legacy w:legacy="1" w:legacySpace="0" w:legacyIndent="397"/>
      <w:lvlJc w:val="left"/>
      <w:pPr>
        <w:ind w:left="823" w:hanging="397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F74D7C"/>
    <w:multiLevelType w:val="hybridMultilevel"/>
    <w:tmpl w:val="830857B2"/>
    <w:lvl w:ilvl="0" w:tplc="7A741386">
      <w:start w:val="1"/>
      <w:numFmt w:val="decimal"/>
      <w:lvlText w:val="%1."/>
      <w:legacy w:legacy="1" w:legacySpace="0" w:legacyIndent="397"/>
      <w:lvlJc w:val="left"/>
      <w:pPr>
        <w:ind w:left="1220" w:hanging="397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63" w:hanging="360"/>
      </w:pPr>
    </w:lvl>
    <w:lvl w:ilvl="2" w:tplc="0422001B" w:tentative="1">
      <w:start w:val="1"/>
      <w:numFmt w:val="lowerRoman"/>
      <w:lvlText w:val="%3."/>
      <w:lvlJc w:val="right"/>
      <w:pPr>
        <w:ind w:left="2983" w:hanging="180"/>
      </w:pPr>
    </w:lvl>
    <w:lvl w:ilvl="3" w:tplc="0422000F" w:tentative="1">
      <w:start w:val="1"/>
      <w:numFmt w:val="decimal"/>
      <w:lvlText w:val="%4."/>
      <w:lvlJc w:val="left"/>
      <w:pPr>
        <w:ind w:left="3703" w:hanging="360"/>
      </w:pPr>
    </w:lvl>
    <w:lvl w:ilvl="4" w:tplc="04220019" w:tentative="1">
      <w:start w:val="1"/>
      <w:numFmt w:val="lowerLetter"/>
      <w:lvlText w:val="%5."/>
      <w:lvlJc w:val="left"/>
      <w:pPr>
        <w:ind w:left="4423" w:hanging="360"/>
      </w:pPr>
    </w:lvl>
    <w:lvl w:ilvl="5" w:tplc="0422001B" w:tentative="1">
      <w:start w:val="1"/>
      <w:numFmt w:val="lowerRoman"/>
      <w:lvlText w:val="%6."/>
      <w:lvlJc w:val="right"/>
      <w:pPr>
        <w:ind w:left="5143" w:hanging="180"/>
      </w:pPr>
    </w:lvl>
    <w:lvl w:ilvl="6" w:tplc="0422000F" w:tentative="1">
      <w:start w:val="1"/>
      <w:numFmt w:val="decimal"/>
      <w:lvlText w:val="%7."/>
      <w:lvlJc w:val="left"/>
      <w:pPr>
        <w:ind w:left="5863" w:hanging="360"/>
      </w:pPr>
    </w:lvl>
    <w:lvl w:ilvl="7" w:tplc="04220019" w:tentative="1">
      <w:start w:val="1"/>
      <w:numFmt w:val="lowerLetter"/>
      <w:lvlText w:val="%8."/>
      <w:lvlJc w:val="left"/>
      <w:pPr>
        <w:ind w:left="6583" w:hanging="360"/>
      </w:pPr>
    </w:lvl>
    <w:lvl w:ilvl="8" w:tplc="0422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FF73565"/>
    <w:multiLevelType w:val="hybridMultilevel"/>
    <w:tmpl w:val="5C942E6C"/>
    <w:lvl w:ilvl="0" w:tplc="6284FEF4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7">
    <w:nsid w:val="427A0A64"/>
    <w:multiLevelType w:val="hybridMultilevel"/>
    <w:tmpl w:val="936060FE"/>
    <w:lvl w:ilvl="0" w:tplc="1324A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96BFC"/>
    <w:multiLevelType w:val="hybridMultilevel"/>
    <w:tmpl w:val="EB62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66D3C"/>
    <w:multiLevelType w:val="hybridMultilevel"/>
    <w:tmpl w:val="C91CB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C7C3C"/>
    <w:multiLevelType w:val="hybridMultilevel"/>
    <w:tmpl w:val="C116F3F4"/>
    <w:lvl w:ilvl="0" w:tplc="D88AC0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5C903FB6"/>
    <w:multiLevelType w:val="singleLevel"/>
    <w:tmpl w:val="7A741386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b w:val="0"/>
      </w:rPr>
    </w:lvl>
  </w:abstractNum>
  <w:abstractNum w:abstractNumId="12">
    <w:nsid w:val="6CA25A4F"/>
    <w:multiLevelType w:val="singleLevel"/>
    <w:tmpl w:val="68CA6C7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3">
    <w:nsid w:val="705E1DBC"/>
    <w:multiLevelType w:val="hybridMultilevel"/>
    <w:tmpl w:val="ECE23B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513D46"/>
    <w:multiLevelType w:val="singleLevel"/>
    <w:tmpl w:val="68CA6C7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5">
    <w:nsid w:val="74DF6EB2"/>
    <w:multiLevelType w:val="hybridMultilevel"/>
    <w:tmpl w:val="8BDC123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8C"/>
    <w:rsid w:val="001C632F"/>
    <w:rsid w:val="00234C42"/>
    <w:rsid w:val="002A79EA"/>
    <w:rsid w:val="002B2652"/>
    <w:rsid w:val="00342151"/>
    <w:rsid w:val="004D0E7A"/>
    <w:rsid w:val="0066585F"/>
    <w:rsid w:val="006A1BA8"/>
    <w:rsid w:val="007A29D2"/>
    <w:rsid w:val="008F51D6"/>
    <w:rsid w:val="00997348"/>
    <w:rsid w:val="00AD153D"/>
    <w:rsid w:val="00B03140"/>
    <w:rsid w:val="00B95420"/>
    <w:rsid w:val="00D24F1B"/>
    <w:rsid w:val="00D45C92"/>
    <w:rsid w:val="00DC6FB3"/>
    <w:rsid w:val="00E34BC9"/>
    <w:rsid w:val="00EB0776"/>
    <w:rsid w:val="00EB0BF7"/>
    <w:rsid w:val="00F1208C"/>
    <w:rsid w:val="00F2023F"/>
    <w:rsid w:val="00F20679"/>
    <w:rsid w:val="00F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F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AD153D"/>
    <w:pPr>
      <w:keepNext/>
      <w:spacing w:before="240" w:after="60"/>
      <w:outlineLvl w:val="3"/>
    </w:pPr>
    <w:rPr>
      <w:b/>
      <w:bCs/>
      <w:color w:val="aut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0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Text1">
    <w:name w:val="Text1"/>
    <w:basedOn w:val="a"/>
    <w:rsid w:val="00EB0776"/>
    <w:pPr>
      <w:spacing w:after="60"/>
      <w:ind w:firstLine="567"/>
      <w:jc w:val="both"/>
    </w:pPr>
    <w:rPr>
      <w:rFonts w:ascii="Arial" w:hAnsi="Arial"/>
      <w:color w:val="auto"/>
      <w:szCs w:val="20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EB0776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EB077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6">
    <w:name w:val="Hyperlink"/>
    <w:basedOn w:val="a0"/>
    <w:unhideWhenUsed/>
    <w:rsid w:val="00997348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D153D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7">
    <w:name w:val="No Spacing"/>
    <w:uiPriority w:val="1"/>
    <w:qFormat/>
    <w:rsid w:val="00AD1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Numeric1">
    <w:name w:val="Numeric1"/>
    <w:basedOn w:val="a"/>
    <w:rsid w:val="00AD153D"/>
    <w:pPr>
      <w:spacing w:after="60" w:line="288" w:lineRule="auto"/>
      <w:ind w:left="397" w:hanging="397"/>
    </w:pPr>
    <w:rPr>
      <w:rFonts w:ascii="Arial" w:hAnsi="Arial"/>
      <w:color w:val="auto"/>
      <w:sz w:val="26"/>
      <w:szCs w:val="20"/>
      <w:lang w:val="uk-UA" w:eastAsia="ru-RU"/>
    </w:rPr>
  </w:style>
  <w:style w:type="paragraph" w:customStyle="1" w:styleId="Normal1">
    <w:name w:val="Normal1"/>
    <w:rsid w:val="00E34BC9"/>
    <w:pPr>
      <w:widowControl w:val="0"/>
      <w:spacing w:after="0" w:line="240" w:lineRule="auto"/>
      <w:ind w:left="40" w:firstLine="6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4F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24F1B"/>
    <w:pPr>
      <w:tabs>
        <w:tab w:val="center" w:pos="4677"/>
        <w:tab w:val="right" w:pos="9355"/>
      </w:tabs>
    </w:pPr>
    <w:rPr>
      <w:color w:val="auto"/>
      <w:sz w:val="28"/>
      <w:lang w:val="ru-RU"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D24F1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Звичайний1"/>
    <w:rsid w:val="00D24F1B"/>
    <w:pPr>
      <w:widowControl w:val="0"/>
      <w:spacing w:after="0" w:line="240" w:lineRule="auto"/>
      <w:ind w:left="40" w:firstLine="6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3">
    <w:name w:val="FR3"/>
    <w:rsid w:val="00D24F1B"/>
    <w:pPr>
      <w:widowControl w:val="0"/>
      <w:spacing w:before="20" w:after="0" w:line="320" w:lineRule="auto"/>
      <w:ind w:left="40" w:firstLine="3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F2023F"/>
    <w:pPr>
      <w:widowControl w:val="0"/>
      <w:spacing w:before="20" w:after="0" w:line="240" w:lineRule="auto"/>
      <w:ind w:left="12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F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AD153D"/>
    <w:pPr>
      <w:keepNext/>
      <w:spacing w:before="240" w:after="60"/>
      <w:outlineLvl w:val="3"/>
    </w:pPr>
    <w:rPr>
      <w:b/>
      <w:bCs/>
      <w:color w:val="aut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0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Text1">
    <w:name w:val="Text1"/>
    <w:basedOn w:val="a"/>
    <w:rsid w:val="00EB0776"/>
    <w:pPr>
      <w:spacing w:after="60"/>
      <w:ind w:firstLine="567"/>
      <w:jc w:val="both"/>
    </w:pPr>
    <w:rPr>
      <w:rFonts w:ascii="Arial" w:hAnsi="Arial"/>
      <w:color w:val="auto"/>
      <w:szCs w:val="20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EB0776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EB077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6">
    <w:name w:val="Hyperlink"/>
    <w:basedOn w:val="a0"/>
    <w:unhideWhenUsed/>
    <w:rsid w:val="00997348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D153D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7">
    <w:name w:val="No Spacing"/>
    <w:uiPriority w:val="1"/>
    <w:qFormat/>
    <w:rsid w:val="00AD1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Numeric1">
    <w:name w:val="Numeric1"/>
    <w:basedOn w:val="a"/>
    <w:rsid w:val="00AD153D"/>
    <w:pPr>
      <w:spacing w:after="60" w:line="288" w:lineRule="auto"/>
      <w:ind w:left="397" w:hanging="397"/>
    </w:pPr>
    <w:rPr>
      <w:rFonts w:ascii="Arial" w:hAnsi="Arial"/>
      <w:color w:val="auto"/>
      <w:sz w:val="26"/>
      <w:szCs w:val="20"/>
      <w:lang w:val="uk-UA" w:eastAsia="ru-RU"/>
    </w:rPr>
  </w:style>
  <w:style w:type="paragraph" w:customStyle="1" w:styleId="Normal1">
    <w:name w:val="Normal1"/>
    <w:rsid w:val="00E34BC9"/>
    <w:pPr>
      <w:widowControl w:val="0"/>
      <w:spacing w:after="0" w:line="240" w:lineRule="auto"/>
      <w:ind w:left="40" w:firstLine="6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4F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24F1B"/>
    <w:pPr>
      <w:tabs>
        <w:tab w:val="center" w:pos="4677"/>
        <w:tab w:val="right" w:pos="9355"/>
      </w:tabs>
    </w:pPr>
    <w:rPr>
      <w:color w:val="auto"/>
      <w:sz w:val="28"/>
      <w:lang w:val="ru-RU"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D24F1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Звичайний1"/>
    <w:rsid w:val="00D24F1B"/>
    <w:pPr>
      <w:widowControl w:val="0"/>
      <w:spacing w:after="0" w:line="240" w:lineRule="auto"/>
      <w:ind w:left="40" w:firstLine="6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3">
    <w:name w:val="FR3"/>
    <w:rsid w:val="00D24F1B"/>
    <w:pPr>
      <w:widowControl w:val="0"/>
      <w:spacing w:before="20" w:after="0" w:line="320" w:lineRule="auto"/>
      <w:ind w:left="40" w:firstLine="3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F2023F"/>
    <w:pPr>
      <w:widowControl w:val="0"/>
      <w:spacing w:before="20" w:after="0" w:line="240" w:lineRule="auto"/>
      <w:ind w:left="12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lnu.edu.ua/" TargetMode="External"/><Relationship Id="rId13" Type="http://schemas.openxmlformats.org/officeDocument/2006/relationships/hyperlink" Target="http://vschool.km.ru/" TargetMode="External"/><Relationship Id="rId18" Type="http://schemas.openxmlformats.org/officeDocument/2006/relationships/hyperlink" Target="http://franko/lviv.ua/libra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osa.uar.net" TargetMode="External"/><Relationship Id="rId7" Type="http://schemas.openxmlformats.org/officeDocument/2006/relationships/hyperlink" Target="mailto:law.faculty@lnu.edu.ua" TargetMode="External"/><Relationship Id="rId12" Type="http://schemas.openxmlformats.org/officeDocument/2006/relationships/hyperlink" Target="http://edu.km.ru/" TargetMode="External"/><Relationship Id="rId17" Type="http://schemas.openxmlformats.org/officeDocument/2006/relationships/hyperlink" Target="http://www.nbuv.gov.ua" TargetMode="External"/><Relationship Id="rId25" Type="http://schemas.openxmlformats.org/officeDocument/2006/relationships/hyperlink" Target="http://slovnik.org/Ink/di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rary.lviv.ua" TargetMode="External"/><Relationship Id="rId20" Type="http://schemas.openxmlformats.org/officeDocument/2006/relationships/hyperlink" Target="http://www.nla.od.ua/odessa/li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.lnu.edu.ua/departments/criminal-process/" TargetMode="External"/><Relationship Id="rId24" Type="http://schemas.openxmlformats.org/officeDocument/2006/relationships/hyperlink" Target="http://vesna.sammit.kie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.com.ua" TargetMode="External"/><Relationship Id="rId23" Type="http://schemas.openxmlformats.org/officeDocument/2006/relationships/hyperlink" Target="http://mega.km.ru/" TargetMode="External"/><Relationship Id="rId10" Type="http://schemas.openxmlformats.org/officeDocument/2006/relationships/hyperlink" Target="mailto:najda1945@gmail.com" TargetMode="External"/><Relationship Id="rId19" Type="http://schemas.openxmlformats.org/officeDocument/2006/relationships/hyperlink" Target="http://www.urakad.kharkiv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.lnu.edu.ua/departments/criminal-process/" TargetMode="External"/><Relationship Id="rId14" Type="http://schemas.openxmlformats.org/officeDocument/2006/relationships/hyperlink" Target="http://vkids.km.ru/" TargetMode="External"/><Relationship Id="rId22" Type="http://schemas.openxmlformats.org/officeDocument/2006/relationships/hyperlink" Target="http://www.lib-gw.univ.kie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50B6-CA38-4DE5-B2FD-97C279AF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12338</Words>
  <Characters>7034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HP6820s</dc:creator>
  <cp:keywords/>
  <dc:description/>
  <cp:lastModifiedBy>Vitalij</cp:lastModifiedBy>
  <cp:revision>5</cp:revision>
  <dcterms:created xsi:type="dcterms:W3CDTF">2019-12-01T16:42:00Z</dcterms:created>
  <dcterms:modified xsi:type="dcterms:W3CDTF">2019-12-13T07:09:00Z</dcterms:modified>
</cp:coreProperties>
</file>