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46" w:rsidRPr="001A4115" w:rsidRDefault="00CC4146" w:rsidP="00B93C25">
      <w:pPr>
        <w:pStyle w:val="a3"/>
        <w:shd w:val="clear" w:color="auto" w:fill="FFFFFF"/>
        <w:spacing w:before="0" w:beforeAutospacing="0" w:after="0" w:afterAutospacing="0" w:line="360" w:lineRule="auto"/>
        <w:ind w:firstLine="709"/>
        <w:jc w:val="right"/>
        <w:rPr>
          <w:i/>
          <w:color w:val="000000"/>
          <w:sz w:val="22"/>
          <w:szCs w:val="22"/>
        </w:rPr>
      </w:pPr>
      <w:r w:rsidRPr="001A4115">
        <w:rPr>
          <w:rStyle w:val="qowt-font2-timesnewroman"/>
          <w:b/>
          <w:bCs/>
          <w:i/>
          <w:iCs/>
          <w:color w:val="000000"/>
          <w:sz w:val="28"/>
          <w:szCs w:val="28"/>
        </w:rPr>
        <w:t>ГалабурдаТарас</w:t>
      </w:r>
    </w:p>
    <w:p w:rsidR="00CC4146" w:rsidRPr="00CC4146" w:rsidRDefault="00CC4146" w:rsidP="00B93C25">
      <w:pPr>
        <w:pStyle w:val="a3"/>
        <w:shd w:val="clear" w:color="auto" w:fill="FFFFFF"/>
        <w:spacing w:before="0" w:beforeAutospacing="0" w:after="0" w:afterAutospacing="0" w:line="360" w:lineRule="auto"/>
        <w:ind w:firstLine="709"/>
        <w:jc w:val="right"/>
        <w:rPr>
          <w:color w:val="000000"/>
          <w:sz w:val="22"/>
          <w:szCs w:val="22"/>
        </w:rPr>
      </w:pPr>
      <w:r w:rsidRPr="00CC4146">
        <w:rPr>
          <w:rStyle w:val="qowt-font2-timesnewroman"/>
          <w:i/>
          <w:iCs/>
          <w:color w:val="000000"/>
          <w:sz w:val="28"/>
          <w:szCs w:val="28"/>
        </w:rPr>
        <w:t>аспірант кафедри історії держави,</w:t>
      </w:r>
    </w:p>
    <w:p w:rsidR="00CC4146" w:rsidRPr="00CC4146" w:rsidRDefault="00CC4146" w:rsidP="00B93C25">
      <w:pPr>
        <w:pStyle w:val="a3"/>
        <w:shd w:val="clear" w:color="auto" w:fill="FFFFFF"/>
        <w:spacing w:before="0" w:beforeAutospacing="0" w:after="0" w:afterAutospacing="0" w:line="360" w:lineRule="auto"/>
        <w:ind w:firstLine="709"/>
        <w:jc w:val="right"/>
        <w:rPr>
          <w:color w:val="000000"/>
          <w:sz w:val="22"/>
          <w:szCs w:val="22"/>
        </w:rPr>
      </w:pPr>
      <w:r w:rsidRPr="00CC4146">
        <w:rPr>
          <w:rStyle w:val="qowt-font2-timesnewroman"/>
          <w:i/>
          <w:iCs/>
          <w:color w:val="000000"/>
          <w:sz w:val="28"/>
          <w:szCs w:val="28"/>
        </w:rPr>
        <w:t>права та політико-правових учень</w:t>
      </w:r>
    </w:p>
    <w:p w:rsidR="00CC4146" w:rsidRPr="00CC4146" w:rsidRDefault="00CC4146" w:rsidP="00B93C25">
      <w:pPr>
        <w:pStyle w:val="a3"/>
        <w:shd w:val="clear" w:color="auto" w:fill="FFFFFF"/>
        <w:spacing w:before="0" w:beforeAutospacing="0" w:after="0" w:afterAutospacing="0" w:line="360" w:lineRule="auto"/>
        <w:ind w:firstLine="709"/>
        <w:jc w:val="right"/>
        <w:rPr>
          <w:color w:val="000000"/>
          <w:sz w:val="22"/>
          <w:szCs w:val="22"/>
        </w:rPr>
      </w:pPr>
      <w:r w:rsidRPr="00CC4146">
        <w:rPr>
          <w:rStyle w:val="qowt-font2-timesnewroman"/>
          <w:i/>
          <w:iCs/>
          <w:color w:val="000000"/>
          <w:sz w:val="28"/>
          <w:szCs w:val="28"/>
        </w:rPr>
        <w:t>юридичного факультету</w:t>
      </w:r>
    </w:p>
    <w:p w:rsidR="00CC4146" w:rsidRPr="00CC4146" w:rsidRDefault="00CC4146" w:rsidP="00B93C25">
      <w:pPr>
        <w:pStyle w:val="a3"/>
        <w:shd w:val="clear" w:color="auto" w:fill="FFFFFF"/>
        <w:spacing w:before="0" w:beforeAutospacing="0" w:after="0" w:afterAutospacing="0" w:line="360" w:lineRule="auto"/>
        <w:ind w:firstLine="709"/>
        <w:jc w:val="right"/>
        <w:rPr>
          <w:color w:val="000000"/>
          <w:sz w:val="22"/>
          <w:szCs w:val="22"/>
        </w:rPr>
      </w:pPr>
      <w:r w:rsidRPr="00CC4146">
        <w:rPr>
          <w:rStyle w:val="qowt-font2-timesnewroman"/>
          <w:i/>
          <w:iCs/>
          <w:color w:val="000000"/>
          <w:sz w:val="28"/>
          <w:szCs w:val="28"/>
        </w:rPr>
        <w:t>Львівського національного університету</w:t>
      </w:r>
    </w:p>
    <w:p w:rsidR="00CC4146" w:rsidRPr="00CC4146" w:rsidRDefault="00CC4146" w:rsidP="00B93C25">
      <w:pPr>
        <w:pStyle w:val="a3"/>
        <w:shd w:val="clear" w:color="auto" w:fill="FFFFFF"/>
        <w:spacing w:before="0" w:beforeAutospacing="0" w:after="0" w:afterAutospacing="0" w:line="360" w:lineRule="auto"/>
        <w:ind w:firstLine="709"/>
        <w:jc w:val="right"/>
        <w:rPr>
          <w:color w:val="000000"/>
          <w:sz w:val="22"/>
          <w:szCs w:val="22"/>
        </w:rPr>
      </w:pPr>
      <w:r w:rsidRPr="00CC4146">
        <w:rPr>
          <w:rStyle w:val="qowt-font2-timesnewroman"/>
          <w:i/>
          <w:iCs/>
          <w:color w:val="000000"/>
          <w:sz w:val="28"/>
          <w:szCs w:val="28"/>
        </w:rPr>
        <w:t>імені Івана Франка</w:t>
      </w:r>
    </w:p>
    <w:p w:rsidR="00CC4146" w:rsidRPr="00CC4146" w:rsidRDefault="00CC4146" w:rsidP="00B93C25">
      <w:pPr>
        <w:pStyle w:val="a3"/>
        <w:shd w:val="clear" w:color="auto" w:fill="FFFFFF"/>
        <w:spacing w:before="0" w:beforeAutospacing="0" w:after="0" w:afterAutospacing="0" w:line="360" w:lineRule="auto"/>
        <w:ind w:firstLine="709"/>
        <w:jc w:val="right"/>
        <w:rPr>
          <w:color w:val="000000"/>
          <w:sz w:val="22"/>
          <w:szCs w:val="22"/>
        </w:rPr>
      </w:pPr>
      <w:r w:rsidRPr="00CC4146">
        <w:rPr>
          <w:i/>
          <w:iCs/>
          <w:color w:val="000000"/>
          <w:sz w:val="28"/>
          <w:szCs w:val="28"/>
        </w:rPr>
        <w:br/>
      </w:r>
    </w:p>
    <w:p w:rsidR="001A4115" w:rsidRPr="00B93C25" w:rsidRDefault="00B93C25" w:rsidP="00B93C25">
      <w:pPr>
        <w:spacing w:after="0" w:line="360" w:lineRule="auto"/>
        <w:jc w:val="center"/>
        <w:rPr>
          <w:rFonts w:ascii="Times New Roman" w:hAnsi="Times New Roman" w:cs="Times New Roman"/>
          <w:b/>
          <w:sz w:val="28"/>
          <w:szCs w:val="28"/>
        </w:rPr>
      </w:pPr>
      <w:r w:rsidRPr="00B93C25">
        <w:rPr>
          <w:rFonts w:ascii="Times New Roman" w:hAnsi="Times New Roman" w:cs="Times New Roman"/>
          <w:b/>
          <w:sz w:val="28"/>
          <w:szCs w:val="28"/>
        </w:rPr>
        <w:t>Використання історичного досвіду в сучасних умовах судової реформи в Україні</w:t>
      </w:r>
      <w:r>
        <w:rPr>
          <w:rFonts w:ascii="Times New Roman" w:hAnsi="Times New Roman" w:cs="Times New Roman"/>
          <w:b/>
          <w:sz w:val="28"/>
          <w:szCs w:val="28"/>
        </w:rPr>
        <w:t xml:space="preserve"> </w:t>
      </w:r>
      <w:r w:rsidRPr="00B93C25">
        <w:rPr>
          <w:rFonts w:ascii="Times New Roman" w:hAnsi="Times New Roman" w:cs="Times New Roman"/>
          <w:b/>
          <w:sz w:val="28"/>
          <w:szCs w:val="28"/>
        </w:rPr>
        <w:t>(на прикладі к</w:t>
      </w:r>
      <w:r w:rsidR="005E0409">
        <w:rPr>
          <w:rFonts w:ascii="Times New Roman" w:hAnsi="Times New Roman" w:cs="Times New Roman"/>
          <w:b/>
          <w:sz w:val="28"/>
          <w:szCs w:val="28"/>
        </w:rPr>
        <w:t>римінального судочинства в Гали</w:t>
      </w:r>
      <w:r w:rsidRPr="00B93C25">
        <w:rPr>
          <w:rFonts w:ascii="Times New Roman" w:hAnsi="Times New Roman" w:cs="Times New Roman"/>
          <w:b/>
          <w:sz w:val="28"/>
          <w:szCs w:val="28"/>
        </w:rPr>
        <w:t>чині за Австрійським кримінально-процесуальним кодексом 1873 р.)</w:t>
      </w:r>
    </w:p>
    <w:p w:rsidR="00B93C25" w:rsidRDefault="00B93C25" w:rsidP="00B93C25">
      <w:pPr>
        <w:spacing w:after="0" w:line="360" w:lineRule="auto"/>
        <w:jc w:val="center"/>
        <w:rPr>
          <w:rStyle w:val="qowt-font2-timesnewroman"/>
          <w:rFonts w:ascii="Times New Roman" w:eastAsia="Times New Roman" w:hAnsi="Times New Roman" w:cs="Times New Roman"/>
          <w:b/>
          <w:bCs/>
          <w:color w:val="000000"/>
          <w:sz w:val="28"/>
          <w:szCs w:val="28"/>
          <w:lang w:eastAsia="uk-UA"/>
        </w:rPr>
      </w:pPr>
    </w:p>
    <w:p w:rsidR="00140460" w:rsidRDefault="00140460" w:rsidP="00B93C25">
      <w:pPr>
        <w:spacing w:after="0" w:line="360" w:lineRule="auto"/>
        <w:ind w:firstLine="709"/>
        <w:jc w:val="both"/>
        <w:rPr>
          <w:rFonts w:ascii="Times New Roman" w:hAnsi="Times New Roman"/>
          <w:sz w:val="28"/>
          <w:szCs w:val="28"/>
        </w:rPr>
      </w:pPr>
      <w:r w:rsidRPr="000A50EB">
        <w:rPr>
          <w:rFonts w:ascii="Times New Roman" w:hAnsi="Times New Roman"/>
          <w:sz w:val="28"/>
          <w:szCs w:val="28"/>
        </w:rPr>
        <w:t xml:space="preserve">Сучасний стан державотворення в Україні пов’язаний із суттєвим реформуванням судової влади та системи правосуддя, що будуються на засадах верховенства права і відповідають європейським стандартам. Під час удосконалення кримінального судочинства у сучасній Україні важливим є врахування не лише міжнародного правового досвіду, але й національного. </w:t>
      </w:r>
      <w:r w:rsidRPr="00140460">
        <w:rPr>
          <w:rFonts w:ascii="Times New Roman" w:hAnsi="Times New Roman"/>
          <w:sz w:val="28"/>
          <w:szCs w:val="28"/>
        </w:rPr>
        <w:t>Особливий інтерес викликає історико-правовий аналіз кримінального судочинства як механізму захисту прав та інтересів осіб, суспільства та держави у судах Австро-Угорської монархії на прикладі Галичини.</w:t>
      </w:r>
    </w:p>
    <w:p w:rsidR="00940F19" w:rsidRDefault="00940F19" w:rsidP="00B93C25">
      <w:pPr>
        <w:tabs>
          <w:tab w:val="left" w:pos="8222"/>
        </w:tabs>
        <w:spacing w:after="0" w:line="360" w:lineRule="auto"/>
        <w:ind w:right="-2" w:firstLine="567"/>
        <w:jc w:val="both"/>
        <w:rPr>
          <w:rFonts w:ascii="Times New Roman" w:hAnsi="Times New Roman"/>
          <w:sz w:val="28"/>
          <w:szCs w:val="28"/>
        </w:rPr>
      </w:pPr>
      <w:r w:rsidRPr="0070653C">
        <w:rPr>
          <w:rFonts w:ascii="Times New Roman" w:hAnsi="Times New Roman"/>
          <w:sz w:val="28"/>
          <w:szCs w:val="28"/>
        </w:rPr>
        <w:t xml:space="preserve">Розуміння кримінального процесу суттєво різниться на різних етапах розвитку європейської правової думки. Переломним у цьому випадку необхідно вважати </w:t>
      </w:r>
      <w:r w:rsidRPr="0070653C">
        <w:rPr>
          <w:rFonts w:ascii="Times New Roman" w:hAnsi="Times New Roman"/>
          <w:sz w:val="28"/>
          <w:szCs w:val="28"/>
          <w:lang w:val="en-US"/>
        </w:rPr>
        <w:t>XVIII</w:t>
      </w:r>
      <w:r w:rsidRPr="00B93C25">
        <w:rPr>
          <w:rFonts w:ascii="Times New Roman" w:hAnsi="Times New Roman"/>
          <w:sz w:val="28"/>
          <w:szCs w:val="28"/>
        </w:rPr>
        <w:t>–</w:t>
      </w:r>
      <w:r w:rsidRPr="0070653C">
        <w:rPr>
          <w:rFonts w:ascii="Times New Roman" w:hAnsi="Times New Roman"/>
          <w:sz w:val="28"/>
          <w:szCs w:val="28"/>
          <w:lang w:val="en-US"/>
        </w:rPr>
        <w:t>XIX</w:t>
      </w:r>
      <w:r w:rsidRPr="0070653C">
        <w:rPr>
          <w:rFonts w:ascii="Times New Roman" w:hAnsi="Times New Roman"/>
          <w:sz w:val="28"/>
          <w:szCs w:val="28"/>
        </w:rPr>
        <w:t xml:space="preserve"> ст., коли під впливом філософських ідей Просвітництва поширився раціоналізм в країнах Європи, зокрема і в Австрійській імперії, який передбачав ефективнішу модель управління державою за чітко визначеними правилами. Такими правилами власне і стало уніфіковане законодавство, мета якого полягала у створенні найсприятливіших умов для розвитку держави. Водночас Просвітництво сприяло становленню т.зв. освіченого абсолютизму – політичної системи, в якій монарх (імператор) був покликаний перетворювати, дисциплінувати й скеровувати суспільство на шлях безкінечного прогресу. </w:t>
      </w:r>
      <w:r w:rsidRPr="0070653C">
        <w:rPr>
          <w:rFonts w:ascii="Times New Roman" w:hAnsi="Times New Roman"/>
          <w:bCs/>
          <w:sz w:val="28"/>
          <w:szCs w:val="28"/>
          <w:shd w:val="clear" w:color="auto" w:fill="FFFFFF"/>
        </w:rPr>
        <w:t xml:space="preserve">Світоглядно «освічений абсолютизм» спирався на твори філософів – від Томаса </w:t>
      </w:r>
      <w:r w:rsidRPr="0070653C">
        <w:rPr>
          <w:rFonts w:ascii="Times New Roman" w:hAnsi="Times New Roman"/>
          <w:bCs/>
          <w:sz w:val="28"/>
          <w:szCs w:val="28"/>
          <w:shd w:val="clear" w:color="auto" w:fill="FFFFFF"/>
        </w:rPr>
        <w:lastRenderedPageBreak/>
        <w:t xml:space="preserve">Гоббса до Вольтера, – які розуміли державу як форму суспільного договору між владою і населенням та вважали можливим побудувати гармонійні відносини завдяки </w:t>
      </w:r>
      <w:r w:rsidRPr="00B93C25">
        <w:rPr>
          <w:rFonts w:ascii="Times New Roman" w:hAnsi="Times New Roman"/>
          <w:bCs/>
          <w:sz w:val="28"/>
          <w:szCs w:val="28"/>
          <w:shd w:val="clear" w:color="auto" w:fill="FFFFFF"/>
        </w:rPr>
        <w:t>“</w:t>
      </w:r>
      <w:r w:rsidRPr="0070653C">
        <w:rPr>
          <w:rFonts w:ascii="Times New Roman" w:hAnsi="Times New Roman"/>
          <w:bCs/>
          <w:sz w:val="28"/>
          <w:szCs w:val="28"/>
          <w:shd w:val="clear" w:color="auto" w:fill="FFFFFF"/>
        </w:rPr>
        <w:t>чистому розумові</w:t>
      </w:r>
      <w:r w:rsidRPr="00B93C25">
        <w:rPr>
          <w:rFonts w:ascii="Times New Roman" w:hAnsi="Times New Roman"/>
          <w:bCs/>
          <w:sz w:val="28"/>
          <w:szCs w:val="28"/>
          <w:shd w:val="clear" w:color="auto" w:fill="FFFFFF"/>
        </w:rPr>
        <w:t>”</w:t>
      </w:r>
      <w:r w:rsidRPr="0070653C">
        <w:rPr>
          <w:rFonts w:ascii="Times New Roman" w:hAnsi="Times New Roman"/>
          <w:bCs/>
          <w:sz w:val="28"/>
          <w:szCs w:val="28"/>
          <w:shd w:val="clear" w:color="auto" w:fill="FFFFFF"/>
        </w:rPr>
        <w:t>. Метою реформ освіченого абсолютизму одночасно були інтереси держави (пристосу</w:t>
      </w:r>
      <w:r w:rsidR="0070653C" w:rsidRPr="0070653C">
        <w:rPr>
          <w:rFonts w:ascii="Times New Roman" w:hAnsi="Times New Roman"/>
          <w:bCs/>
          <w:sz w:val="28"/>
          <w:szCs w:val="28"/>
          <w:shd w:val="clear" w:color="auto" w:fill="FFFFFF"/>
        </w:rPr>
        <w:t>вати монархію до нових викликів</w:t>
      </w:r>
      <w:r w:rsidRPr="0070653C">
        <w:rPr>
          <w:rFonts w:ascii="Times New Roman" w:hAnsi="Times New Roman"/>
          <w:bCs/>
          <w:sz w:val="28"/>
          <w:szCs w:val="28"/>
          <w:shd w:val="clear" w:color="auto" w:fill="FFFFFF"/>
        </w:rPr>
        <w:t xml:space="preserve">) і турбота про покращення життя простих громадян. </w:t>
      </w:r>
      <w:r w:rsidRPr="0070653C">
        <w:rPr>
          <w:rFonts w:ascii="Times New Roman" w:hAnsi="Times New Roman"/>
          <w:sz w:val="28"/>
          <w:szCs w:val="28"/>
        </w:rPr>
        <w:t>Чи не найбільш показовим прикладом таких системних перетворень, безумовно, є монархія Габсбургів.</w:t>
      </w:r>
    </w:p>
    <w:p w:rsidR="00F4067A" w:rsidRDefault="00F4067A" w:rsidP="00B93C25">
      <w:pPr>
        <w:tabs>
          <w:tab w:val="left" w:pos="2268"/>
        </w:tabs>
        <w:spacing w:after="0" w:line="360" w:lineRule="auto"/>
        <w:ind w:firstLine="709"/>
        <w:jc w:val="both"/>
        <w:rPr>
          <w:rFonts w:ascii="Times New Roman" w:eastAsia="Arial Unicode MS" w:hAnsi="Times New Roman"/>
          <w:sz w:val="28"/>
          <w:szCs w:val="28"/>
          <w:bdr w:val="none" w:sz="0" w:space="0" w:color="auto" w:frame="1"/>
        </w:rPr>
      </w:pPr>
      <w:r>
        <w:rPr>
          <w:rFonts w:ascii="Times New Roman" w:hAnsi="Times New Roman"/>
          <w:bCs/>
          <w:sz w:val="28"/>
          <w:szCs w:val="28"/>
          <w:shd w:val="clear" w:color="auto" w:fill="FFFFFF"/>
        </w:rPr>
        <w:t>А</w:t>
      </w:r>
      <w:r w:rsidRPr="00F4067A">
        <w:rPr>
          <w:rFonts w:ascii="Times New Roman" w:hAnsi="Times New Roman"/>
          <w:bCs/>
          <w:sz w:val="28"/>
          <w:szCs w:val="28"/>
          <w:shd w:val="clear" w:color="auto" w:fill="FFFFFF"/>
        </w:rPr>
        <w:t>встрійський Кримнільно-процесуальний кодекс 1873 р.перебував у нерозривному зв’язку із попередніми законами, що регулювали кримінальне судочинство Австрії, зокрема, КПК 1850 р., на підставі якого КПК 1873 р. здійснив повернення до багатьох вирішальних положень.Наприклад, рішення Верховного судового і касаційного трибуналу у Відні на підставі КПК 1850 р., котрі однаково добре зарекомендували себе за формою і змістом, у багатьох випадках стали основним джерелом інформації, що сприяла вдосконаленню відповідних положень у КПК 1873 р.</w:t>
      </w:r>
      <w:r w:rsidRPr="000A50EB">
        <w:rPr>
          <w:rFonts w:ascii="Times New Roman" w:eastAsia="Arial Unicode MS" w:hAnsi="Times New Roman"/>
          <w:sz w:val="28"/>
          <w:szCs w:val="28"/>
          <w:bdr w:val="none" w:sz="0" w:space="0" w:color="auto" w:frame="1"/>
        </w:rPr>
        <w:t xml:space="preserve">Водночас, судова практика і наукова література, що сформувалася за час дії Кримінально-процесуального кодексу 1853 р. в усіх тих положеннях, що не були скасовані чинним КПК 1873 р. або встановлені в інших нормативно-правових актах, продовжувала діяти у тих самих правових межах. </w:t>
      </w:r>
    </w:p>
    <w:p w:rsidR="00F4067A" w:rsidRDefault="00F4067A" w:rsidP="00B93C25">
      <w:pPr>
        <w:tabs>
          <w:tab w:val="left" w:pos="2268"/>
        </w:tabs>
        <w:spacing w:after="0" w:line="360" w:lineRule="auto"/>
        <w:ind w:firstLine="709"/>
        <w:jc w:val="both"/>
        <w:rPr>
          <w:rFonts w:ascii="Times New Roman" w:eastAsia="Arial Unicode MS" w:hAnsi="Times New Roman"/>
          <w:sz w:val="28"/>
          <w:szCs w:val="28"/>
          <w:bdr w:val="none" w:sz="0" w:space="0" w:color="auto" w:frame="1"/>
          <w:lang w:bidi="uk-UA"/>
        </w:rPr>
      </w:pPr>
      <w:r>
        <w:rPr>
          <w:rFonts w:ascii="Times New Roman" w:eastAsia="Arial Unicode MS" w:hAnsi="Times New Roman"/>
          <w:sz w:val="28"/>
          <w:szCs w:val="28"/>
          <w:bdr w:val="none" w:sz="0" w:space="0" w:color="auto" w:frame="1"/>
          <w:lang w:bidi="uk-UA"/>
        </w:rPr>
        <w:t>В</w:t>
      </w:r>
      <w:r w:rsidRPr="00F4067A">
        <w:rPr>
          <w:rFonts w:ascii="Times New Roman" w:eastAsia="Arial Unicode MS" w:hAnsi="Times New Roman"/>
          <w:sz w:val="28"/>
          <w:szCs w:val="28"/>
          <w:bdr w:val="none" w:sz="0" w:space="0" w:color="auto" w:frame="1"/>
          <w:lang w:bidi="uk-UA"/>
        </w:rPr>
        <w:t xml:space="preserve">есь процес кодифікації тривав 13 років, упродовж яких було розроблено 10 законопроєктів. Більшість з них навіть не були спрямовані на подальшу роботу, однак два найбільш важливих, тобто проєкт V від 1863 р. та проєкт IX з 1869 р., заслуговують на увагу. Проєкт V послужив основою для розробки проєкту IX, який у свою чергу, лише з незначними поправками, був остаточно схвалений і прийнятий як кримінально-процесуальний кодекс. Відмінності між проєктами V та IX були такими: V відхилив, а IX вніс допоміжну скаргу; відповідно до проєкту V, присяжні засідателі мали розглядати справи про незначні правопорушення та проступки, IX не передбачав такої процедури; проєкт V виключав можливість подачі апеляції на ухвали повітових судів щодо (вини) обвинувачення, а IX таку можливість припускав; за проєктом V прокурор мав можливість використовувати різні правові заходи на користь </w:t>
      </w:r>
      <w:r w:rsidRPr="00F4067A">
        <w:rPr>
          <w:rFonts w:ascii="Times New Roman" w:eastAsia="Arial Unicode MS" w:hAnsi="Times New Roman"/>
          <w:sz w:val="28"/>
          <w:szCs w:val="28"/>
          <w:bdr w:val="none" w:sz="0" w:space="0" w:color="auto" w:frame="1"/>
          <w:lang w:bidi="uk-UA"/>
        </w:rPr>
        <w:lastRenderedPageBreak/>
        <w:t xml:space="preserve">обвинуваченого, а </w:t>
      </w:r>
      <w:r w:rsidRPr="00F4067A">
        <w:rPr>
          <w:rFonts w:ascii="Times New Roman" w:eastAsia="Arial Unicode MS" w:hAnsi="Times New Roman"/>
          <w:sz w:val="28"/>
          <w:szCs w:val="28"/>
          <w:bdr w:val="none" w:sz="0" w:space="0" w:color="auto" w:frame="1"/>
          <w:lang w:val="en-US"/>
        </w:rPr>
        <w:t>IX</w:t>
      </w:r>
      <w:r w:rsidRPr="00F4067A">
        <w:rPr>
          <w:rFonts w:ascii="Times New Roman" w:eastAsia="Arial Unicode MS" w:hAnsi="Times New Roman"/>
          <w:sz w:val="28"/>
          <w:szCs w:val="28"/>
          <w:bdr w:val="none" w:sz="0" w:space="0" w:color="auto" w:frame="1"/>
          <w:lang w:bidi="uk-UA"/>
        </w:rPr>
        <w:t xml:space="preserve"> заборонив це; проєкт IX не дозволяв проводити головне слухання проти відсутньої особи, тоді як проєкт V передбачив таку можливість. Зрештою, форма нового кодексу була результатом описаних правил та положень. Було вирішено використати перші три положення, а два останніх відхилити</w:t>
      </w:r>
      <w:r>
        <w:rPr>
          <w:rFonts w:ascii="Times New Roman" w:eastAsia="Arial Unicode MS" w:hAnsi="Times New Roman"/>
          <w:sz w:val="28"/>
          <w:szCs w:val="28"/>
          <w:bdr w:val="none" w:sz="0" w:space="0" w:color="auto" w:frame="1"/>
          <w:lang w:bidi="uk-UA"/>
        </w:rPr>
        <w:t>.</w:t>
      </w:r>
    </w:p>
    <w:p w:rsidR="00F4067A" w:rsidRPr="000A50EB" w:rsidRDefault="00F4067A" w:rsidP="00B93C25">
      <w:pPr>
        <w:spacing w:after="0" w:line="360" w:lineRule="auto"/>
        <w:ind w:firstLine="567"/>
        <w:jc w:val="both"/>
        <w:rPr>
          <w:rFonts w:ascii="Times New Roman" w:hAnsi="Times New Roman"/>
          <w:sz w:val="28"/>
          <w:szCs w:val="28"/>
          <w:lang w:bidi="uk-UA"/>
        </w:rPr>
      </w:pPr>
      <w:r w:rsidRPr="000A50EB">
        <w:rPr>
          <w:rFonts w:ascii="Times New Roman" w:hAnsi="Times New Roman"/>
          <w:sz w:val="28"/>
          <w:szCs w:val="28"/>
          <w:lang w:bidi="uk-UA"/>
        </w:rPr>
        <w:t>Структурну систему</w:t>
      </w:r>
      <w:r w:rsidR="007F52AF">
        <w:rPr>
          <w:rFonts w:ascii="Times New Roman" w:hAnsi="Times New Roman"/>
          <w:sz w:val="28"/>
          <w:szCs w:val="28"/>
          <w:lang w:bidi="uk-UA"/>
        </w:rPr>
        <w:t xml:space="preserve"> кодексу</w:t>
      </w:r>
      <w:r w:rsidRPr="000A50EB">
        <w:rPr>
          <w:rFonts w:ascii="Times New Roman" w:hAnsi="Times New Roman"/>
          <w:sz w:val="28"/>
          <w:szCs w:val="28"/>
          <w:lang w:bidi="uk-UA"/>
        </w:rPr>
        <w:t xml:space="preserve"> можна відобразити такими головними частинами: Загальні положення (розділ I. §§ 1–7). Особи, що беруть участь у кримінальному судочинстві, про оголошення судових рішень, про перегляд матеріалів справи </w:t>
      </w:r>
      <w:r w:rsidRPr="000A50EB">
        <w:rPr>
          <w:rFonts w:ascii="Times New Roman" w:hAnsi="Times New Roman"/>
          <w:sz w:val="28"/>
          <w:szCs w:val="28"/>
          <w:lang w:bidi="pl-PL"/>
        </w:rPr>
        <w:t>(</w:t>
      </w:r>
      <w:r w:rsidRPr="000A50EB">
        <w:rPr>
          <w:rFonts w:ascii="Times New Roman" w:hAnsi="Times New Roman"/>
          <w:sz w:val="28"/>
          <w:szCs w:val="28"/>
          <w:lang w:bidi="uk-UA"/>
        </w:rPr>
        <w:t>розділ</w:t>
      </w:r>
      <w:r w:rsidRPr="000A50EB">
        <w:rPr>
          <w:rFonts w:ascii="Times New Roman" w:hAnsi="Times New Roman"/>
          <w:sz w:val="28"/>
          <w:szCs w:val="28"/>
          <w:lang w:bidi="pl-PL"/>
        </w:rPr>
        <w:t xml:space="preserve"> II </w:t>
      </w:r>
      <w:r w:rsidRPr="000A50EB">
        <w:rPr>
          <w:rFonts w:ascii="Times New Roman" w:hAnsi="Times New Roman"/>
          <w:sz w:val="28"/>
          <w:szCs w:val="28"/>
          <w:lang w:bidi="uk-UA"/>
        </w:rPr>
        <w:t>–</w:t>
      </w:r>
      <w:r w:rsidRPr="000A50EB">
        <w:rPr>
          <w:rFonts w:ascii="Times New Roman" w:hAnsi="Times New Roman"/>
          <w:sz w:val="28"/>
          <w:szCs w:val="28"/>
          <w:lang w:bidi="pl-PL"/>
        </w:rPr>
        <w:t>VIII, §§ 8</w:t>
      </w:r>
      <w:r w:rsidRPr="000A50EB">
        <w:rPr>
          <w:rFonts w:ascii="Times New Roman" w:hAnsi="Times New Roman"/>
          <w:sz w:val="28"/>
          <w:szCs w:val="28"/>
          <w:lang w:bidi="uk-UA"/>
        </w:rPr>
        <w:t>–</w:t>
      </w:r>
      <w:r w:rsidRPr="000A50EB">
        <w:rPr>
          <w:rFonts w:ascii="Times New Roman" w:hAnsi="Times New Roman"/>
          <w:sz w:val="28"/>
          <w:szCs w:val="28"/>
          <w:lang w:bidi="pl-PL"/>
        </w:rPr>
        <w:t>83).</w:t>
      </w:r>
      <w:r w:rsidRPr="000A50EB">
        <w:rPr>
          <w:rFonts w:ascii="Times New Roman" w:hAnsi="Times New Roman"/>
          <w:sz w:val="28"/>
          <w:szCs w:val="28"/>
          <w:lang w:bidi="uk-UA"/>
        </w:rPr>
        <w:t xml:space="preserve"> Про сам спосіб кримінального судочинства, а саме: про звичайне судочинство у справах про злочини та правопорушення </w:t>
      </w:r>
      <w:r w:rsidRPr="000A50EB">
        <w:rPr>
          <w:rFonts w:ascii="Times New Roman" w:hAnsi="Times New Roman"/>
          <w:sz w:val="28"/>
          <w:szCs w:val="28"/>
          <w:lang w:bidi="pl-PL"/>
        </w:rPr>
        <w:t>(</w:t>
      </w:r>
      <w:r w:rsidRPr="000A50EB">
        <w:rPr>
          <w:rFonts w:ascii="Times New Roman" w:hAnsi="Times New Roman"/>
          <w:sz w:val="28"/>
          <w:szCs w:val="28"/>
          <w:lang w:bidi="uk-UA"/>
        </w:rPr>
        <w:t>розділи</w:t>
      </w:r>
      <w:r w:rsidRPr="000A50EB">
        <w:rPr>
          <w:rFonts w:ascii="Times New Roman" w:hAnsi="Times New Roman"/>
          <w:sz w:val="28"/>
          <w:szCs w:val="28"/>
          <w:lang w:bidi="pl-PL"/>
        </w:rPr>
        <w:t xml:space="preserve"> IX</w:t>
      </w:r>
      <w:r w:rsidRPr="000A50EB">
        <w:rPr>
          <w:rFonts w:ascii="Times New Roman" w:hAnsi="Times New Roman"/>
          <w:sz w:val="28"/>
          <w:szCs w:val="28"/>
          <w:lang w:bidi="uk-UA"/>
        </w:rPr>
        <w:t>–</w:t>
      </w:r>
      <w:r w:rsidRPr="000A50EB">
        <w:rPr>
          <w:rFonts w:ascii="Times New Roman" w:hAnsi="Times New Roman"/>
          <w:sz w:val="28"/>
          <w:szCs w:val="28"/>
          <w:lang w:bidi="pl-PL"/>
        </w:rPr>
        <w:t>XX. §§84</w:t>
      </w:r>
      <w:r w:rsidRPr="000A50EB">
        <w:rPr>
          <w:rFonts w:ascii="Times New Roman" w:hAnsi="Times New Roman"/>
          <w:sz w:val="28"/>
          <w:szCs w:val="28"/>
          <w:lang w:bidi="uk-UA"/>
        </w:rPr>
        <w:t>–</w:t>
      </w:r>
      <w:r w:rsidRPr="000A50EB">
        <w:rPr>
          <w:rFonts w:ascii="Times New Roman" w:hAnsi="Times New Roman"/>
          <w:sz w:val="28"/>
          <w:szCs w:val="28"/>
          <w:lang w:bidi="pl-PL"/>
        </w:rPr>
        <w:t>364)</w:t>
      </w:r>
      <w:r w:rsidRPr="000A50EB">
        <w:rPr>
          <w:rFonts w:ascii="Times New Roman" w:hAnsi="Times New Roman"/>
          <w:sz w:val="28"/>
          <w:szCs w:val="28"/>
          <w:lang w:bidi="uk-UA"/>
        </w:rPr>
        <w:t xml:space="preserve"> про судочинство щодо приватних скарг </w:t>
      </w:r>
      <w:r w:rsidRPr="000A50EB">
        <w:rPr>
          <w:rFonts w:ascii="Times New Roman" w:hAnsi="Times New Roman"/>
          <w:sz w:val="28"/>
          <w:szCs w:val="28"/>
          <w:lang w:bidi="pl-PL"/>
        </w:rPr>
        <w:t>(</w:t>
      </w:r>
      <w:r w:rsidRPr="000A50EB">
        <w:rPr>
          <w:rFonts w:ascii="Times New Roman" w:hAnsi="Times New Roman"/>
          <w:sz w:val="28"/>
          <w:szCs w:val="28"/>
          <w:lang w:bidi="uk-UA"/>
        </w:rPr>
        <w:t>розділ</w:t>
      </w:r>
      <w:r w:rsidRPr="000A50EB">
        <w:rPr>
          <w:rFonts w:ascii="Times New Roman" w:hAnsi="Times New Roman"/>
          <w:sz w:val="28"/>
          <w:szCs w:val="28"/>
          <w:lang w:bidi="pl-PL"/>
        </w:rPr>
        <w:t xml:space="preserve"> XXI §§365</w:t>
      </w:r>
      <w:r w:rsidRPr="000A50EB">
        <w:rPr>
          <w:rFonts w:ascii="Times New Roman" w:hAnsi="Times New Roman"/>
          <w:sz w:val="28"/>
          <w:szCs w:val="28"/>
          <w:lang w:bidi="uk-UA"/>
        </w:rPr>
        <w:t>–</w:t>
      </w:r>
      <w:r w:rsidRPr="000A50EB">
        <w:rPr>
          <w:rFonts w:ascii="Times New Roman" w:hAnsi="Times New Roman"/>
          <w:sz w:val="28"/>
          <w:szCs w:val="28"/>
          <w:lang w:bidi="pl-PL"/>
        </w:rPr>
        <w:t>379);</w:t>
      </w:r>
      <w:r w:rsidRPr="000A50EB">
        <w:rPr>
          <w:rFonts w:ascii="Times New Roman" w:hAnsi="Times New Roman"/>
          <w:sz w:val="28"/>
          <w:szCs w:val="28"/>
          <w:lang w:bidi="uk-UA"/>
        </w:rPr>
        <w:t xml:space="preserve"> про витрати у кримінальному судочинстві </w:t>
      </w:r>
      <w:r w:rsidRPr="000A50EB">
        <w:rPr>
          <w:rFonts w:ascii="Times New Roman" w:hAnsi="Times New Roman"/>
          <w:sz w:val="28"/>
          <w:szCs w:val="28"/>
          <w:lang w:bidi="pl-PL"/>
        </w:rPr>
        <w:t>(</w:t>
      </w:r>
      <w:r w:rsidRPr="000A50EB">
        <w:rPr>
          <w:rFonts w:ascii="Times New Roman" w:hAnsi="Times New Roman"/>
          <w:sz w:val="28"/>
          <w:szCs w:val="28"/>
          <w:lang w:bidi="uk-UA"/>
        </w:rPr>
        <w:t>розділ</w:t>
      </w:r>
      <w:r w:rsidRPr="000A50EB">
        <w:rPr>
          <w:rFonts w:ascii="Times New Roman" w:hAnsi="Times New Roman"/>
          <w:sz w:val="28"/>
          <w:szCs w:val="28"/>
          <w:lang w:bidi="pl-PL"/>
        </w:rPr>
        <w:t xml:space="preserve"> XXII</w:t>
      </w:r>
      <w:r w:rsidRPr="00B93C25">
        <w:rPr>
          <w:rFonts w:ascii="Times New Roman" w:hAnsi="Times New Roman"/>
          <w:sz w:val="28"/>
          <w:szCs w:val="28"/>
          <w:lang w:val="ru-RU" w:bidi="pl-PL"/>
        </w:rPr>
        <w:t>.</w:t>
      </w:r>
      <w:r w:rsidRPr="000A50EB">
        <w:rPr>
          <w:rFonts w:ascii="Times New Roman" w:hAnsi="Times New Roman"/>
          <w:sz w:val="28"/>
          <w:szCs w:val="28"/>
          <w:lang w:bidi="pl-PL"/>
        </w:rPr>
        <w:t xml:space="preserve"> §§389</w:t>
      </w:r>
      <w:r w:rsidRPr="000A50EB">
        <w:rPr>
          <w:rFonts w:ascii="Times New Roman" w:hAnsi="Times New Roman"/>
          <w:sz w:val="28"/>
          <w:szCs w:val="28"/>
          <w:lang w:bidi="uk-UA"/>
        </w:rPr>
        <w:t>–</w:t>
      </w:r>
      <w:r w:rsidRPr="000A50EB">
        <w:rPr>
          <w:rFonts w:ascii="Times New Roman" w:hAnsi="Times New Roman"/>
          <w:sz w:val="28"/>
          <w:szCs w:val="28"/>
          <w:lang w:bidi="pl-PL"/>
        </w:rPr>
        <w:t>395);</w:t>
      </w:r>
      <w:r w:rsidRPr="000A50EB">
        <w:rPr>
          <w:rFonts w:ascii="Times New Roman" w:hAnsi="Times New Roman"/>
          <w:sz w:val="28"/>
          <w:szCs w:val="28"/>
          <w:lang w:bidi="uk-UA"/>
        </w:rPr>
        <w:t xml:space="preserve"> про виконання судових рішень </w:t>
      </w:r>
      <w:r w:rsidRPr="000A50EB">
        <w:rPr>
          <w:rFonts w:ascii="Times New Roman" w:hAnsi="Times New Roman"/>
          <w:sz w:val="28"/>
          <w:szCs w:val="28"/>
          <w:lang w:bidi="pl-PL"/>
        </w:rPr>
        <w:t>(</w:t>
      </w:r>
      <w:r w:rsidRPr="000A50EB">
        <w:rPr>
          <w:rFonts w:ascii="Times New Roman" w:hAnsi="Times New Roman"/>
          <w:sz w:val="28"/>
          <w:szCs w:val="28"/>
          <w:lang w:bidi="uk-UA"/>
        </w:rPr>
        <w:t xml:space="preserve">розділ </w:t>
      </w:r>
      <w:r w:rsidRPr="000A50EB">
        <w:rPr>
          <w:rFonts w:ascii="Times New Roman" w:hAnsi="Times New Roman"/>
          <w:sz w:val="28"/>
          <w:szCs w:val="28"/>
          <w:lang w:bidi="pl-PL"/>
        </w:rPr>
        <w:t>XXIII. §§396</w:t>
      </w:r>
      <w:r w:rsidRPr="000A50EB">
        <w:rPr>
          <w:rFonts w:ascii="Times New Roman" w:hAnsi="Times New Roman"/>
          <w:sz w:val="28"/>
          <w:szCs w:val="28"/>
          <w:lang w:bidi="uk-UA"/>
        </w:rPr>
        <w:t>–</w:t>
      </w:r>
      <w:r w:rsidRPr="000A50EB">
        <w:rPr>
          <w:rFonts w:ascii="Times New Roman" w:hAnsi="Times New Roman"/>
          <w:sz w:val="28"/>
          <w:szCs w:val="28"/>
          <w:lang w:bidi="pl-PL"/>
        </w:rPr>
        <w:t>411);</w:t>
      </w:r>
      <w:r w:rsidRPr="000A50EB">
        <w:rPr>
          <w:rFonts w:ascii="Times New Roman" w:hAnsi="Times New Roman"/>
          <w:sz w:val="28"/>
          <w:szCs w:val="28"/>
          <w:lang w:bidi="uk-UA"/>
        </w:rPr>
        <w:t xml:space="preserve"> 5) про судовий процес проти невідомих осіб, відсутніх і втікачів (розділ XXIV. §§412–428); про спеціальне провадження </w:t>
      </w:r>
      <w:r w:rsidRPr="000A50EB">
        <w:rPr>
          <w:rFonts w:ascii="Times New Roman" w:hAnsi="Times New Roman"/>
          <w:sz w:val="28"/>
          <w:szCs w:val="28"/>
          <w:lang w:bidi="pl-PL"/>
        </w:rPr>
        <w:t>(</w:t>
      </w:r>
      <w:r w:rsidRPr="000A50EB">
        <w:rPr>
          <w:rFonts w:ascii="Times New Roman" w:hAnsi="Times New Roman"/>
          <w:sz w:val="28"/>
          <w:szCs w:val="28"/>
          <w:lang w:bidi="uk-UA"/>
        </w:rPr>
        <w:t>розділ</w:t>
      </w:r>
      <w:r w:rsidRPr="000A50EB">
        <w:rPr>
          <w:rFonts w:ascii="Times New Roman" w:hAnsi="Times New Roman"/>
          <w:sz w:val="28"/>
          <w:szCs w:val="28"/>
          <w:lang w:bidi="pl-PL"/>
        </w:rPr>
        <w:t xml:space="preserve"> XXV</w:t>
      </w:r>
      <w:r w:rsidRPr="00B93C25">
        <w:rPr>
          <w:rFonts w:ascii="Times New Roman" w:hAnsi="Times New Roman"/>
          <w:sz w:val="28"/>
          <w:szCs w:val="28"/>
          <w:lang w:val="ru-RU" w:bidi="pl-PL"/>
        </w:rPr>
        <w:t>.</w:t>
      </w:r>
      <w:r w:rsidRPr="000A50EB">
        <w:rPr>
          <w:rFonts w:ascii="Times New Roman" w:hAnsi="Times New Roman"/>
          <w:sz w:val="28"/>
          <w:szCs w:val="28"/>
          <w:lang w:bidi="pl-PL"/>
        </w:rPr>
        <w:t xml:space="preserve"> §§ 429</w:t>
      </w:r>
      <w:r w:rsidRPr="000A50EB">
        <w:rPr>
          <w:rFonts w:ascii="Times New Roman" w:hAnsi="Times New Roman"/>
          <w:sz w:val="28"/>
          <w:szCs w:val="28"/>
          <w:lang w:bidi="uk-UA"/>
        </w:rPr>
        <w:t>–</w:t>
      </w:r>
      <w:r w:rsidRPr="000A50EB">
        <w:rPr>
          <w:rFonts w:ascii="Times New Roman" w:hAnsi="Times New Roman"/>
          <w:sz w:val="28"/>
          <w:szCs w:val="28"/>
          <w:lang w:bidi="pl-PL"/>
        </w:rPr>
        <w:t>446);</w:t>
      </w:r>
      <w:r w:rsidRPr="000A50EB">
        <w:rPr>
          <w:rFonts w:ascii="Times New Roman" w:hAnsi="Times New Roman"/>
          <w:sz w:val="28"/>
          <w:szCs w:val="28"/>
          <w:lang w:bidi="uk-UA"/>
        </w:rPr>
        <w:t xml:space="preserve"> про провадження у справах про правопорушення </w:t>
      </w:r>
      <w:r w:rsidRPr="000A50EB">
        <w:rPr>
          <w:rFonts w:ascii="Times New Roman" w:hAnsi="Times New Roman"/>
          <w:sz w:val="28"/>
          <w:szCs w:val="28"/>
          <w:lang w:bidi="pl-PL"/>
        </w:rPr>
        <w:t>(</w:t>
      </w:r>
      <w:r w:rsidRPr="000A50EB">
        <w:rPr>
          <w:rFonts w:ascii="Times New Roman" w:hAnsi="Times New Roman"/>
          <w:sz w:val="28"/>
          <w:szCs w:val="28"/>
          <w:lang w:bidi="uk-UA"/>
        </w:rPr>
        <w:t>розділ</w:t>
      </w:r>
      <w:r w:rsidRPr="000A50EB">
        <w:rPr>
          <w:rFonts w:ascii="Times New Roman" w:hAnsi="Times New Roman"/>
          <w:sz w:val="28"/>
          <w:szCs w:val="28"/>
          <w:lang w:bidi="pl-PL"/>
        </w:rPr>
        <w:t xml:space="preserve"> XXVI</w:t>
      </w:r>
      <w:r w:rsidRPr="00B93C25">
        <w:rPr>
          <w:rFonts w:ascii="Times New Roman" w:hAnsi="Times New Roman"/>
          <w:sz w:val="28"/>
          <w:szCs w:val="28"/>
          <w:lang w:val="ru-RU" w:bidi="pl-PL"/>
        </w:rPr>
        <w:t>.</w:t>
      </w:r>
      <w:r w:rsidRPr="000A50EB">
        <w:rPr>
          <w:rFonts w:ascii="Times New Roman" w:hAnsi="Times New Roman"/>
          <w:sz w:val="28"/>
          <w:szCs w:val="28"/>
          <w:lang w:bidi="pl-PL"/>
        </w:rPr>
        <w:t xml:space="preserve"> §§447</w:t>
      </w:r>
      <w:r w:rsidRPr="000A50EB">
        <w:rPr>
          <w:rFonts w:ascii="Times New Roman" w:hAnsi="Times New Roman"/>
          <w:sz w:val="28"/>
          <w:szCs w:val="28"/>
          <w:lang w:bidi="uk-UA"/>
        </w:rPr>
        <w:t>–</w:t>
      </w:r>
      <w:r w:rsidRPr="000A50EB">
        <w:rPr>
          <w:rFonts w:ascii="Times New Roman" w:hAnsi="Times New Roman"/>
          <w:sz w:val="28"/>
          <w:szCs w:val="28"/>
          <w:lang w:bidi="pl-PL"/>
        </w:rPr>
        <w:t>482);</w:t>
      </w:r>
      <w:r w:rsidRPr="000A50EB">
        <w:rPr>
          <w:rFonts w:ascii="Times New Roman" w:hAnsi="Times New Roman"/>
          <w:sz w:val="28"/>
          <w:szCs w:val="28"/>
          <w:lang w:bidi="uk-UA"/>
        </w:rPr>
        <w:t xml:space="preserve"> про провадження у справах із питань друку </w:t>
      </w:r>
      <w:r w:rsidRPr="000A50EB">
        <w:rPr>
          <w:rFonts w:ascii="Times New Roman" w:hAnsi="Times New Roman"/>
          <w:sz w:val="28"/>
          <w:szCs w:val="28"/>
          <w:lang w:bidi="pl-PL"/>
        </w:rPr>
        <w:t>(</w:t>
      </w:r>
      <w:r w:rsidRPr="000A50EB">
        <w:rPr>
          <w:rFonts w:ascii="Times New Roman" w:hAnsi="Times New Roman"/>
          <w:sz w:val="28"/>
          <w:szCs w:val="28"/>
          <w:lang w:bidi="uk-UA"/>
        </w:rPr>
        <w:t>розділ</w:t>
      </w:r>
      <w:r w:rsidRPr="000A50EB">
        <w:rPr>
          <w:rFonts w:ascii="Times New Roman" w:hAnsi="Times New Roman"/>
          <w:sz w:val="28"/>
          <w:szCs w:val="28"/>
          <w:lang w:bidi="pl-PL"/>
        </w:rPr>
        <w:t xml:space="preserve"> XXVII</w:t>
      </w:r>
      <w:r w:rsidRPr="00B93C25">
        <w:rPr>
          <w:rFonts w:ascii="Times New Roman" w:hAnsi="Times New Roman"/>
          <w:sz w:val="28"/>
          <w:szCs w:val="28"/>
          <w:lang w:bidi="pl-PL"/>
        </w:rPr>
        <w:t>.</w:t>
      </w:r>
      <w:r w:rsidRPr="000A50EB">
        <w:rPr>
          <w:rFonts w:ascii="Times New Roman" w:hAnsi="Times New Roman"/>
          <w:sz w:val="28"/>
          <w:szCs w:val="28"/>
          <w:lang w:bidi="pl-PL"/>
        </w:rPr>
        <w:t xml:space="preserve"> §§483</w:t>
      </w:r>
      <w:r w:rsidRPr="000A50EB">
        <w:rPr>
          <w:rFonts w:ascii="Times New Roman" w:hAnsi="Times New Roman"/>
          <w:sz w:val="28"/>
          <w:szCs w:val="28"/>
          <w:lang w:bidi="uk-UA"/>
        </w:rPr>
        <w:t>–</w:t>
      </w:r>
      <w:r w:rsidRPr="000A50EB">
        <w:rPr>
          <w:rFonts w:ascii="Times New Roman" w:hAnsi="Times New Roman"/>
          <w:sz w:val="28"/>
          <w:szCs w:val="28"/>
          <w:lang w:bidi="pl-PL"/>
        </w:rPr>
        <w:t>494).</w:t>
      </w:r>
    </w:p>
    <w:p w:rsidR="00F4067A" w:rsidRDefault="00F4067A" w:rsidP="00B93C25">
      <w:pPr>
        <w:spacing w:after="0" w:line="360" w:lineRule="auto"/>
        <w:ind w:firstLine="567"/>
        <w:jc w:val="both"/>
        <w:rPr>
          <w:rFonts w:ascii="Times New Roman" w:hAnsi="Times New Roman"/>
          <w:sz w:val="28"/>
          <w:szCs w:val="28"/>
        </w:rPr>
      </w:pPr>
      <w:r w:rsidRPr="000A50EB">
        <w:rPr>
          <w:rFonts w:ascii="Times New Roman" w:hAnsi="Times New Roman"/>
          <w:sz w:val="28"/>
          <w:szCs w:val="28"/>
        </w:rPr>
        <w:t xml:space="preserve">Разом з тим, австрійське кримінальне судочинство, окрім КПК 1873 р., застосовувало положення інших нормативно-правових актів, що мали пряме відношення до кодексу, таких як: Закон </w:t>
      </w:r>
      <w:r w:rsidRPr="00B93C25">
        <w:rPr>
          <w:rFonts w:ascii="Times New Roman" w:hAnsi="Times New Roman"/>
          <w:sz w:val="28"/>
          <w:szCs w:val="28"/>
        </w:rPr>
        <w:t>“</w:t>
      </w:r>
      <w:r w:rsidRPr="000A50EB">
        <w:rPr>
          <w:rFonts w:ascii="Times New Roman" w:hAnsi="Times New Roman"/>
          <w:sz w:val="28"/>
          <w:szCs w:val="28"/>
        </w:rPr>
        <w:t>Про компетенції військових судів</w:t>
      </w:r>
      <w:r w:rsidRPr="00B93C25">
        <w:rPr>
          <w:rFonts w:ascii="Times New Roman" w:hAnsi="Times New Roman"/>
          <w:sz w:val="28"/>
          <w:szCs w:val="28"/>
        </w:rPr>
        <w:t>”</w:t>
      </w:r>
      <w:r w:rsidRPr="000A50EB">
        <w:rPr>
          <w:rFonts w:ascii="Times New Roman" w:hAnsi="Times New Roman"/>
          <w:sz w:val="28"/>
          <w:szCs w:val="28"/>
        </w:rPr>
        <w:t>від 20 травня 1869 р., № 78 (</w:t>
      </w:r>
      <w:r w:rsidRPr="000A50EB">
        <w:rPr>
          <w:rFonts w:ascii="Times New Roman" w:hAnsi="Times New Roman"/>
          <w:sz w:val="28"/>
          <w:szCs w:val="28"/>
          <w:lang w:bidi="pl-PL"/>
        </w:rPr>
        <w:t>§60 КПК 1873 р.</w:t>
      </w:r>
      <w:r w:rsidRPr="000A50EB">
        <w:rPr>
          <w:rFonts w:ascii="Times New Roman" w:hAnsi="Times New Roman"/>
          <w:sz w:val="28"/>
          <w:szCs w:val="28"/>
        </w:rPr>
        <w:t xml:space="preserve">); Закон </w:t>
      </w:r>
      <w:r w:rsidRPr="00B93C25">
        <w:rPr>
          <w:rFonts w:ascii="Times New Roman" w:hAnsi="Times New Roman"/>
          <w:sz w:val="28"/>
          <w:szCs w:val="28"/>
        </w:rPr>
        <w:t>“</w:t>
      </w:r>
      <w:r w:rsidRPr="000A50EB">
        <w:rPr>
          <w:rFonts w:ascii="Times New Roman" w:hAnsi="Times New Roman"/>
          <w:sz w:val="28"/>
          <w:szCs w:val="28"/>
        </w:rPr>
        <w:t>Про охорону житлового права</w:t>
      </w:r>
      <w:r w:rsidRPr="00B93C25">
        <w:rPr>
          <w:rFonts w:ascii="Times New Roman" w:hAnsi="Times New Roman"/>
          <w:sz w:val="28"/>
          <w:szCs w:val="28"/>
        </w:rPr>
        <w:t>”</w:t>
      </w:r>
      <w:r w:rsidRPr="000A50EB">
        <w:rPr>
          <w:rFonts w:ascii="Times New Roman" w:hAnsi="Times New Roman"/>
          <w:sz w:val="28"/>
          <w:szCs w:val="28"/>
        </w:rPr>
        <w:t>від 27 жовтня 1862 р., № 88 (</w:t>
      </w:r>
      <w:r w:rsidRPr="000A50EB">
        <w:rPr>
          <w:rFonts w:ascii="Times New Roman" w:hAnsi="Times New Roman"/>
          <w:sz w:val="28"/>
          <w:szCs w:val="28"/>
          <w:lang w:bidi="pl-PL"/>
        </w:rPr>
        <w:t>§§</w:t>
      </w:r>
      <w:r w:rsidRPr="000A50EB">
        <w:rPr>
          <w:rFonts w:ascii="Times New Roman" w:hAnsi="Times New Roman"/>
          <w:sz w:val="28"/>
          <w:szCs w:val="28"/>
          <w:shd w:val="clear" w:color="auto" w:fill="FFFFFF"/>
        </w:rPr>
        <w:t>139</w:t>
      </w:r>
      <w:r w:rsidRPr="000A50EB">
        <w:rPr>
          <w:rFonts w:ascii="Times New Roman" w:hAnsi="Times New Roman"/>
          <w:sz w:val="28"/>
          <w:szCs w:val="28"/>
          <w:lang w:bidi="uk-UA"/>
        </w:rPr>
        <w:t>–</w:t>
      </w:r>
      <w:r w:rsidRPr="000A50EB">
        <w:rPr>
          <w:rFonts w:ascii="Times New Roman" w:hAnsi="Times New Roman"/>
          <w:sz w:val="28"/>
          <w:szCs w:val="28"/>
          <w:shd w:val="clear" w:color="auto" w:fill="FFFFFF"/>
        </w:rPr>
        <w:t>142</w:t>
      </w:r>
      <w:r w:rsidRPr="000A50EB">
        <w:rPr>
          <w:rFonts w:ascii="Times New Roman" w:hAnsi="Times New Roman"/>
          <w:sz w:val="28"/>
          <w:szCs w:val="28"/>
        </w:rPr>
        <w:t xml:space="preserve">); Закон </w:t>
      </w:r>
      <w:r w:rsidRPr="00B93C25">
        <w:rPr>
          <w:rFonts w:ascii="Times New Roman" w:hAnsi="Times New Roman"/>
          <w:sz w:val="28"/>
          <w:szCs w:val="28"/>
        </w:rPr>
        <w:t>“</w:t>
      </w:r>
      <w:r w:rsidRPr="000A50EB">
        <w:rPr>
          <w:rFonts w:ascii="Times New Roman" w:hAnsi="Times New Roman"/>
          <w:sz w:val="28"/>
          <w:szCs w:val="28"/>
        </w:rPr>
        <w:t>Про захист таємниці листування та інших послань</w:t>
      </w:r>
      <w:r w:rsidRPr="00B93C25">
        <w:rPr>
          <w:rFonts w:ascii="Times New Roman" w:hAnsi="Times New Roman"/>
          <w:sz w:val="28"/>
          <w:szCs w:val="28"/>
        </w:rPr>
        <w:t>”</w:t>
      </w:r>
      <w:r w:rsidRPr="000A50EB">
        <w:rPr>
          <w:rFonts w:ascii="Times New Roman" w:hAnsi="Times New Roman"/>
          <w:sz w:val="28"/>
          <w:szCs w:val="28"/>
        </w:rPr>
        <w:t>від 6 квітня 1870 р., №42 (</w:t>
      </w:r>
      <w:r w:rsidRPr="000A50EB">
        <w:rPr>
          <w:rFonts w:ascii="Times New Roman" w:hAnsi="Times New Roman"/>
          <w:sz w:val="28"/>
          <w:szCs w:val="28"/>
          <w:lang w:bidi="pl-PL"/>
        </w:rPr>
        <w:t>§§</w:t>
      </w:r>
      <w:r w:rsidRPr="000A50EB">
        <w:rPr>
          <w:rFonts w:ascii="Times New Roman" w:hAnsi="Times New Roman"/>
          <w:sz w:val="28"/>
          <w:szCs w:val="28"/>
        </w:rPr>
        <w:t>146</w:t>
      </w:r>
      <w:r w:rsidRPr="000A50EB">
        <w:rPr>
          <w:rFonts w:ascii="Times New Roman" w:hAnsi="Times New Roman"/>
          <w:sz w:val="28"/>
          <w:szCs w:val="28"/>
          <w:lang w:bidi="uk-UA"/>
        </w:rPr>
        <w:t>–</w:t>
      </w:r>
      <w:r w:rsidRPr="000A50EB">
        <w:rPr>
          <w:rFonts w:ascii="Times New Roman" w:hAnsi="Times New Roman"/>
          <w:sz w:val="28"/>
          <w:szCs w:val="28"/>
        </w:rPr>
        <w:t xml:space="preserve">149); Закон </w:t>
      </w:r>
      <w:r w:rsidRPr="00B93C25">
        <w:rPr>
          <w:rFonts w:ascii="Times New Roman" w:hAnsi="Times New Roman"/>
          <w:sz w:val="28"/>
          <w:szCs w:val="28"/>
        </w:rPr>
        <w:t>“</w:t>
      </w:r>
      <w:r w:rsidRPr="000A50EB">
        <w:rPr>
          <w:rFonts w:ascii="Times New Roman" w:hAnsi="Times New Roman"/>
          <w:sz w:val="28"/>
          <w:szCs w:val="28"/>
        </w:rPr>
        <w:t>Про захист особистої свободи</w:t>
      </w:r>
      <w:r w:rsidRPr="00B93C25">
        <w:rPr>
          <w:rFonts w:ascii="Times New Roman" w:hAnsi="Times New Roman"/>
          <w:sz w:val="28"/>
          <w:szCs w:val="28"/>
        </w:rPr>
        <w:t xml:space="preserve">” </w:t>
      </w:r>
      <w:r w:rsidRPr="000A50EB">
        <w:rPr>
          <w:rFonts w:ascii="Times New Roman" w:hAnsi="Times New Roman"/>
          <w:sz w:val="28"/>
          <w:szCs w:val="28"/>
        </w:rPr>
        <w:t>від 27 жовтня 1862 р., №. 87 (</w:t>
      </w:r>
      <w:r w:rsidRPr="000A50EB">
        <w:rPr>
          <w:rFonts w:ascii="Times New Roman" w:hAnsi="Times New Roman"/>
          <w:sz w:val="28"/>
          <w:szCs w:val="28"/>
          <w:lang w:bidi="pl-PL"/>
        </w:rPr>
        <w:t>§§</w:t>
      </w:r>
      <w:r w:rsidRPr="000A50EB">
        <w:rPr>
          <w:rFonts w:ascii="Times New Roman" w:hAnsi="Times New Roman"/>
          <w:sz w:val="28"/>
          <w:szCs w:val="28"/>
        </w:rPr>
        <w:t xml:space="preserve">175, 180 і 452); Закон </w:t>
      </w:r>
      <w:r w:rsidRPr="00B93C25">
        <w:rPr>
          <w:rFonts w:ascii="Times New Roman" w:hAnsi="Times New Roman"/>
          <w:sz w:val="28"/>
          <w:szCs w:val="28"/>
        </w:rPr>
        <w:t>“</w:t>
      </w:r>
      <w:r w:rsidRPr="000A50EB">
        <w:rPr>
          <w:rFonts w:ascii="Times New Roman" w:hAnsi="Times New Roman"/>
          <w:sz w:val="28"/>
          <w:szCs w:val="28"/>
        </w:rPr>
        <w:t>Про формування списків присяжних</w:t>
      </w:r>
      <w:r w:rsidRPr="00B93C25">
        <w:rPr>
          <w:rFonts w:ascii="Times New Roman" w:hAnsi="Times New Roman"/>
          <w:sz w:val="28"/>
          <w:szCs w:val="28"/>
        </w:rPr>
        <w:t>”</w:t>
      </w:r>
      <w:r w:rsidRPr="000A50EB">
        <w:rPr>
          <w:rFonts w:ascii="Times New Roman" w:hAnsi="Times New Roman"/>
          <w:sz w:val="28"/>
          <w:szCs w:val="28"/>
        </w:rPr>
        <w:t xml:space="preserve"> від 23 травня 1873 р., №12 (</w:t>
      </w:r>
      <w:r w:rsidRPr="000A50EB">
        <w:rPr>
          <w:rFonts w:ascii="Times New Roman" w:hAnsi="Times New Roman"/>
          <w:sz w:val="28"/>
          <w:szCs w:val="28"/>
          <w:lang w:bidi="pl-PL"/>
        </w:rPr>
        <w:t>§302</w:t>
      </w:r>
      <w:r w:rsidRPr="000A50EB">
        <w:rPr>
          <w:rFonts w:ascii="Times New Roman" w:hAnsi="Times New Roman"/>
          <w:sz w:val="28"/>
          <w:szCs w:val="28"/>
        </w:rPr>
        <w:t xml:space="preserve">); Закон </w:t>
      </w:r>
      <w:r w:rsidRPr="00B93C25">
        <w:rPr>
          <w:rFonts w:ascii="Times New Roman" w:hAnsi="Times New Roman"/>
          <w:sz w:val="28"/>
          <w:szCs w:val="28"/>
        </w:rPr>
        <w:t>“</w:t>
      </w:r>
      <w:r w:rsidRPr="000A50EB">
        <w:rPr>
          <w:rFonts w:ascii="Times New Roman" w:hAnsi="Times New Roman"/>
          <w:sz w:val="28"/>
          <w:szCs w:val="28"/>
        </w:rPr>
        <w:t>Про відшкодування шкоди завданої несправедливим судовим вироком</w:t>
      </w:r>
      <w:r w:rsidRPr="00B93C25">
        <w:rPr>
          <w:rFonts w:ascii="Times New Roman" w:hAnsi="Times New Roman"/>
          <w:sz w:val="28"/>
          <w:szCs w:val="28"/>
        </w:rPr>
        <w:t>”</w:t>
      </w:r>
      <w:r w:rsidRPr="000A50EB">
        <w:rPr>
          <w:rFonts w:ascii="Times New Roman" w:hAnsi="Times New Roman"/>
          <w:sz w:val="28"/>
          <w:szCs w:val="28"/>
        </w:rPr>
        <w:t>від 16 березня 1892 р</w:t>
      </w:r>
      <w:r w:rsidRPr="00B93C25">
        <w:rPr>
          <w:rFonts w:ascii="Times New Roman" w:hAnsi="Times New Roman"/>
          <w:sz w:val="28"/>
          <w:szCs w:val="28"/>
        </w:rPr>
        <w:t>.</w:t>
      </w:r>
      <w:r w:rsidRPr="000A50EB">
        <w:rPr>
          <w:rFonts w:ascii="Times New Roman" w:hAnsi="Times New Roman"/>
          <w:sz w:val="28"/>
          <w:szCs w:val="28"/>
        </w:rPr>
        <w:t xml:space="preserve"> №64; Закон </w:t>
      </w:r>
      <w:r w:rsidRPr="00B93C25">
        <w:rPr>
          <w:rFonts w:ascii="Times New Roman" w:hAnsi="Times New Roman"/>
          <w:sz w:val="28"/>
          <w:szCs w:val="28"/>
        </w:rPr>
        <w:t>“</w:t>
      </w:r>
      <w:r w:rsidRPr="000A50EB">
        <w:rPr>
          <w:rFonts w:ascii="Times New Roman" w:hAnsi="Times New Roman"/>
          <w:sz w:val="28"/>
          <w:szCs w:val="28"/>
        </w:rPr>
        <w:t>Про відшкодування шкоди завданої ув’язненням</w:t>
      </w:r>
      <w:r w:rsidRPr="00B93C25">
        <w:rPr>
          <w:rFonts w:ascii="Times New Roman" w:hAnsi="Times New Roman"/>
          <w:sz w:val="28"/>
          <w:szCs w:val="28"/>
        </w:rPr>
        <w:t>”</w:t>
      </w:r>
      <w:r w:rsidRPr="000A50EB">
        <w:rPr>
          <w:rFonts w:ascii="Times New Roman" w:hAnsi="Times New Roman"/>
          <w:sz w:val="28"/>
          <w:szCs w:val="28"/>
        </w:rPr>
        <w:t xml:space="preserve"> від 18 серпня 1918 р. №318 та інші.</w:t>
      </w:r>
    </w:p>
    <w:p w:rsidR="007F52AF" w:rsidRDefault="007F52AF" w:rsidP="00B93C25">
      <w:pPr>
        <w:spacing w:after="0" w:line="360" w:lineRule="auto"/>
        <w:ind w:firstLine="567"/>
        <w:jc w:val="both"/>
        <w:rPr>
          <w:rFonts w:ascii="Times New Roman" w:hAnsi="Times New Roman"/>
          <w:i/>
          <w:sz w:val="28"/>
          <w:szCs w:val="28"/>
        </w:rPr>
      </w:pPr>
      <w:r w:rsidRPr="007F52AF">
        <w:rPr>
          <w:rFonts w:ascii="Times New Roman" w:hAnsi="Times New Roman"/>
          <w:sz w:val="28"/>
          <w:szCs w:val="28"/>
        </w:rPr>
        <w:t xml:space="preserve">Австрійський </w:t>
      </w:r>
      <w:r>
        <w:rPr>
          <w:rFonts w:ascii="Times New Roman" w:hAnsi="Times New Roman"/>
          <w:sz w:val="28"/>
          <w:szCs w:val="28"/>
        </w:rPr>
        <w:t>КПК</w:t>
      </w:r>
      <w:r w:rsidRPr="007F52AF">
        <w:rPr>
          <w:rFonts w:ascii="Times New Roman" w:hAnsi="Times New Roman"/>
          <w:sz w:val="28"/>
          <w:szCs w:val="28"/>
        </w:rPr>
        <w:t xml:space="preserve"> 1873 р. передбачавпринципи </w:t>
      </w:r>
      <w:r w:rsidRPr="000A50EB">
        <w:rPr>
          <w:rFonts w:ascii="Times New Roman" w:hAnsi="Times New Roman"/>
          <w:i/>
          <w:sz w:val="28"/>
          <w:szCs w:val="28"/>
        </w:rPr>
        <w:t>об’єктивної істини</w:t>
      </w:r>
      <w:r>
        <w:rPr>
          <w:rFonts w:ascii="Times New Roman" w:hAnsi="Times New Roman"/>
          <w:i/>
          <w:sz w:val="28"/>
          <w:szCs w:val="28"/>
        </w:rPr>
        <w:t>,</w:t>
      </w:r>
      <w:r w:rsidRPr="000A50EB">
        <w:rPr>
          <w:rFonts w:ascii="Times New Roman" w:hAnsi="Times New Roman"/>
          <w:i/>
          <w:sz w:val="28"/>
          <w:szCs w:val="28"/>
        </w:rPr>
        <w:t xml:space="preserve">здійсненняпроцесу уповноваженими законом органами від імені </w:t>
      </w:r>
      <w:r w:rsidRPr="000A50EB">
        <w:rPr>
          <w:rFonts w:ascii="Times New Roman" w:hAnsi="Times New Roman"/>
          <w:i/>
          <w:sz w:val="28"/>
          <w:szCs w:val="28"/>
        </w:rPr>
        <w:lastRenderedPageBreak/>
        <w:t>держави</w:t>
      </w:r>
      <w:r>
        <w:rPr>
          <w:rFonts w:ascii="Times New Roman" w:hAnsi="Times New Roman"/>
          <w:i/>
          <w:sz w:val="28"/>
          <w:szCs w:val="28"/>
        </w:rPr>
        <w:t>,</w:t>
      </w:r>
      <w:r w:rsidRPr="000A50EB">
        <w:rPr>
          <w:rFonts w:ascii="Times New Roman" w:hAnsi="Times New Roman"/>
          <w:i/>
          <w:sz w:val="28"/>
          <w:szCs w:val="28"/>
        </w:rPr>
        <w:t>принцип ініціювання судочинства лише за наявності скарги</w:t>
      </w:r>
      <w:r>
        <w:rPr>
          <w:rFonts w:ascii="Times New Roman" w:hAnsi="Times New Roman"/>
          <w:i/>
          <w:sz w:val="28"/>
          <w:szCs w:val="28"/>
        </w:rPr>
        <w:t>,</w:t>
      </w:r>
      <w:r w:rsidRPr="000A50EB">
        <w:rPr>
          <w:rFonts w:ascii="Times New Roman" w:hAnsi="Times New Roman"/>
          <w:i/>
          <w:sz w:val="28"/>
          <w:szCs w:val="28"/>
        </w:rPr>
        <w:t>принципи усності та безпосередності</w:t>
      </w:r>
      <w:r w:rsidR="008A7BA3">
        <w:rPr>
          <w:rFonts w:ascii="Times New Roman" w:hAnsi="Times New Roman"/>
          <w:i/>
          <w:sz w:val="28"/>
          <w:szCs w:val="28"/>
        </w:rPr>
        <w:t>, гласності,</w:t>
      </w:r>
      <w:r w:rsidR="008A7BA3" w:rsidRPr="007F52AF">
        <w:rPr>
          <w:rFonts w:ascii="Times New Roman" w:hAnsi="Times New Roman"/>
          <w:i/>
          <w:sz w:val="28"/>
          <w:szCs w:val="28"/>
        </w:rPr>
        <w:t>змагальності</w:t>
      </w:r>
      <w:r w:rsidR="008A7BA3">
        <w:rPr>
          <w:rFonts w:ascii="Times New Roman" w:hAnsi="Times New Roman"/>
          <w:i/>
          <w:sz w:val="28"/>
          <w:szCs w:val="28"/>
        </w:rPr>
        <w:t xml:space="preserve">, </w:t>
      </w:r>
      <w:r w:rsidR="008A7BA3" w:rsidRPr="007F52AF">
        <w:rPr>
          <w:rFonts w:ascii="Times New Roman" w:hAnsi="Times New Roman"/>
          <w:i/>
          <w:sz w:val="28"/>
          <w:szCs w:val="28"/>
        </w:rPr>
        <w:t>а також принцип вільної оцінки доказів судом</w:t>
      </w:r>
      <w:r w:rsidR="008A7BA3">
        <w:rPr>
          <w:rFonts w:ascii="Times New Roman" w:hAnsi="Times New Roman"/>
          <w:sz w:val="28"/>
          <w:szCs w:val="28"/>
        </w:rPr>
        <w:t xml:space="preserve"> та ін.</w:t>
      </w:r>
    </w:p>
    <w:p w:rsidR="00140460" w:rsidRDefault="008A7BA3" w:rsidP="00B93C25">
      <w:pPr>
        <w:spacing w:after="0" w:line="360" w:lineRule="auto"/>
        <w:ind w:firstLine="709"/>
        <w:jc w:val="both"/>
        <w:rPr>
          <w:rFonts w:ascii="Times New Roman" w:hAnsi="Times New Roman"/>
          <w:sz w:val="28"/>
          <w:szCs w:val="28"/>
        </w:rPr>
      </w:pPr>
      <w:r w:rsidRPr="000A50EB">
        <w:rPr>
          <w:rFonts w:ascii="Times New Roman" w:hAnsi="Times New Roman"/>
          <w:i/>
          <w:sz w:val="28"/>
          <w:szCs w:val="28"/>
        </w:rPr>
        <w:t>Принцип об’єктивної істини</w:t>
      </w:r>
      <w:r w:rsidRPr="000A50EB">
        <w:rPr>
          <w:rFonts w:ascii="Times New Roman" w:hAnsi="Times New Roman"/>
          <w:sz w:val="28"/>
          <w:szCs w:val="28"/>
        </w:rPr>
        <w:t xml:space="preserve"> (принцип матеріальної правди).</w:t>
      </w:r>
      <w:r>
        <w:rPr>
          <w:rFonts w:ascii="Times New Roman" w:hAnsi="Times New Roman"/>
          <w:sz w:val="28"/>
          <w:szCs w:val="28"/>
        </w:rPr>
        <w:t xml:space="preserve"> П</w:t>
      </w:r>
      <w:r w:rsidRPr="008A7BA3">
        <w:rPr>
          <w:rFonts w:ascii="Times New Roman" w:hAnsi="Times New Roman"/>
          <w:sz w:val="28"/>
          <w:szCs w:val="28"/>
        </w:rPr>
        <w:t>отрібно було виконати два завдання: 1) кримінальне судочинство повинно було встановити чи обвинувачений дійсно вчинив кримінально протиправне діяння у вчиненні якого обвинувачувалася особа. 2) яка норма кримінального закону повинна бути застосована до відповідної особи і яке покарання повинна понести така особа.</w:t>
      </w:r>
    </w:p>
    <w:p w:rsidR="00374BF2" w:rsidRDefault="00374BF2" w:rsidP="00B93C25">
      <w:pPr>
        <w:spacing w:after="0" w:line="360" w:lineRule="auto"/>
        <w:ind w:firstLine="709"/>
        <w:jc w:val="both"/>
        <w:rPr>
          <w:rFonts w:ascii="Times New Roman" w:hAnsi="Times New Roman"/>
          <w:i/>
          <w:sz w:val="28"/>
          <w:szCs w:val="28"/>
        </w:rPr>
      </w:pPr>
      <w:r>
        <w:rPr>
          <w:rFonts w:ascii="Times New Roman" w:hAnsi="Times New Roman"/>
          <w:i/>
          <w:sz w:val="28"/>
          <w:szCs w:val="28"/>
        </w:rPr>
        <w:t>З</w:t>
      </w:r>
      <w:r w:rsidRPr="000A50EB">
        <w:rPr>
          <w:rFonts w:ascii="Times New Roman" w:hAnsi="Times New Roman"/>
          <w:i/>
          <w:sz w:val="28"/>
          <w:szCs w:val="28"/>
        </w:rPr>
        <w:t>дійснення процесу уповноваженими законом органами від імені держави</w:t>
      </w:r>
      <w:r w:rsidRPr="000A50EB">
        <w:rPr>
          <w:rFonts w:ascii="Times New Roman" w:hAnsi="Times New Roman"/>
          <w:sz w:val="28"/>
          <w:szCs w:val="28"/>
        </w:rPr>
        <w:t>.</w:t>
      </w:r>
      <w:r w:rsidRPr="00374BF2">
        <w:rPr>
          <w:rFonts w:ascii="Times New Roman" w:hAnsi="Times New Roman"/>
          <w:sz w:val="28"/>
          <w:szCs w:val="28"/>
        </w:rPr>
        <w:t xml:space="preserve">Цей принцип ґрунтувався на тому, що держава самостійно або через уповноважені на те органи ініціювала розгляд діянь, що були предметом кримінального судочинства.Розпочати кримінальне судочинство можна було двома способами: 1) ініціювати початок кримінального судочинства могла потерпіла особа від злочинного діяння, а скарга подана такою особою називалася </w:t>
      </w:r>
      <w:r w:rsidRPr="00374BF2">
        <w:rPr>
          <w:rFonts w:ascii="Times New Roman" w:hAnsi="Times New Roman"/>
          <w:i/>
          <w:sz w:val="28"/>
          <w:szCs w:val="28"/>
        </w:rPr>
        <w:t>приватна скарга</w:t>
      </w:r>
      <w:r w:rsidRPr="00374BF2">
        <w:rPr>
          <w:rFonts w:ascii="Times New Roman" w:hAnsi="Times New Roman"/>
          <w:sz w:val="28"/>
          <w:szCs w:val="28"/>
        </w:rPr>
        <w:t>.</w:t>
      </w:r>
      <w:r>
        <w:rPr>
          <w:rFonts w:ascii="Times New Roman" w:hAnsi="Times New Roman"/>
          <w:sz w:val="28"/>
          <w:szCs w:val="28"/>
        </w:rPr>
        <w:t xml:space="preserve"> 2)</w:t>
      </w:r>
      <w:r w:rsidRPr="000A50EB">
        <w:rPr>
          <w:rFonts w:ascii="Times New Roman" w:hAnsi="Times New Roman"/>
          <w:sz w:val="28"/>
          <w:szCs w:val="28"/>
        </w:rPr>
        <w:t xml:space="preserve"> спосіб вказував на те, що держава також мала право виступити зі скаргою без участі потерпілої особи, а й навіть проти її волі. Держава через уповноважені на те органи вносила </w:t>
      </w:r>
      <w:r w:rsidRPr="00374BF2">
        <w:rPr>
          <w:rFonts w:ascii="Times New Roman" w:hAnsi="Times New Roman"/>
          <w:i/>
          <w:sz w:val="28"/>
          <w:szCs w:val="28"/>
        </w:rPr>
        <w:t>скаргу публічну</w:t>
      </w:r>
      <w:r>
        <w:rPr>
          <w:rFonts w:ascii="Times New Roman" w:hAnsi="Times New Roman"/>
          <w:i/>
          <w:sz w:val="28"/>
          <w:szCs w:val="28"/>
        </w:rPr>
        <w:t>.</w:t>
      </w:r>
    </w:p>
    <w:p w:rsidR="00374BF2" w:rsidRDefault="00374BF2" w:rsidP="00B93C25">
      <w:pPr>
        <w:spacing w:after="0" w:line="360" w:lineRule="auto"/>
        <w:ind w:firstLine="709"/>
        <w:jc w:val="both"/>
        <w:rPr>
          <w:rFonts w:ascii="Times New Roman" w:hAnsi="Times New Roman"/>
          <w:sz w:val="28"/>
          <w:szCs w:val="28"/>
        </w:rPr>
      </w:pPr>
      <w:r>
        <w:rPr>
          <w:rFonts w:ascii="Times New Roman" w:hAnsi="Times New Roman"/>
          <w:i/>
          <w:sz w:val="28"/>
          <w:szCs w:val="28"/>
        </w:rPr>
        <w:t>П</w:t>
      </w:r>
      <w:r w:rsidRPr="00374BF2">
        <w:rPr>
          <w:rFonts w:ascii="Times New Roman" w:hAnsi="Times New Roman"/>
          <w:i/>
          <w:sz w:val="28"/>
          <w:szCs w:val="28"/>
        </w:rPr>
        <w:t>ринцип ініціювання судочинства лише за наявності скарги</w:t>
      </w:r>
      <w:r>
        <w:rPr>
          <w:rFonts w:ascii="Times New Roman" w:hAnsi="Times New Roman"/>
          <w:i/>
          <w:sz w:val="28"/>
          <w:szCs w:val="28"/>
        </w:rPr>
        <w:t xml:space="preserve"> -</w:t>
      </w:r>
      <w:r w:rsidRPr="000A50EB">
        <w:rPr>
          <w:rFonts w:ascii="Times New Roman" w:hAnsi="Times New Roman"/>
          <w:sz w:val="28"/>
          <w:szCs w:val="28"/>
        </w:rPr>
        <w:t>це процесуальна норма, котра дозволяла здійснювати судове переслідування за вчинення конкретного кримінально-караного діяння тільки за бажання особи, яка постраждала внаслідок вчинення цього діяння.</w:t>
      </w:r>
    </w:p>
    <w:p w:rsidR="00204EEF" w:rsidRDefault="00204EEF" w:rsidP="00B93C25">
      <w:pPr>
        <w:spacing w:after="0" w:line="360" w:lineRule="auto"/>
        <w:ind w:firstLine="709"/>
        <w:jc w:val="both"/>
        <w:rPr>
          <w:rFonts w:ascii="Times New Roman" w:hAnsi="Times New Roman"/>
          <w:sz w:val="28"/>
          <w:szCs w:val="28"/>
        </w:rPr>
      </w:pPr>
      <w:r w:rsidRPr="000A50EB">
        <w:rPr>
          <w:rFonts w:ascii="Times New Roman" w:hAnsi="Times New Roman"/>
          <w:sz w:val="28"/>
          <w:szCs w:val="28"/>
        </w:rPr>
        <w:t xml:space="preserve">Положення австрійського законодавства, щодо </w:t>
      </w:r>
      <w:r w:rsidRPr="00204EEF">
        <w:rPr>
          <w:rFonts w:ascii="Times New Roman" w:hAnsi="Times New Roman"/>
          <w:i/>
          <w:sz w:val="28"/>
          <w:szCs w:val="28"/>
        </w:rPr>
        <w:t>принципубезпосередності й усності</w:t>
      </w:r>
      <w:r w:rsidRPr="000A50EB">
        <w:rPr>
          <w:rFonts w:ascii="Times New Roman" w:hAnsi="Times New Roman"/>
          <w:sz w:val="28"/>
          <w:szCs w:val="28"/>
        </w:rPr>
        <w:t xml:space="preserve"> судового розгляду містилися в Ст. 10 грудневої конституції 1867 р. “головна розправа перед судом має бути явна й усна”. На виконання того положення в австрійському КПК 1873 р. був §258 підрозділ (р. 18) у якому вказувалося, що суд при видачі вироку повинен враховувати лише те, що відбулося під час головного слухання. Письмові акти могли зараховуватися як докази, якщо вони були зачитані на головному слуханні, тому суд ні в якому випадку не мав право ґрунтувати свій вирок на доказовому матеріалі, що був </w:t>
      </w:r>
      <w:r w:rsidRPr="000A50EB">
        <w:rPr>
          <w:rFonts w:ascii="Times New Roman" w:hAnsi="Times New Roman"/>
          <w:sz w:val="28"/>
          <w:szCs w:val="28"/>
        </w:rPr>
        <w:lastRenderedPageBreak/>
        <w:t>зібраний під час проведення попереднє розслідування, однак не був представленим на головному судовому розгляді</w:t>
      </w:r>
      <w:r>
        <w:rPr>
          <w:rFonts w:ascii="Times New Roman" w:hAnsi="Times New Roman"/>
          <w:sz w:val="28"/>
          <w:szCs w:val="28"/>
        </w:rPr>
        <w:t>.</w:t>
      </w:r>
    </w:p>
    <w:p w:rsidR="00E409B4" w:rsidRDefault="00E409B4" w:rsidP="00B93C25">
      <w:pPr>
        <w:spacing w:after="0" w:line="360" w:lineRule="auto"/>
        <w:ind w:firstLine="709"/>
        <w:jc w:val="both"/>
        <w:rPr>
          <w:rFonts w:ascii="Times New Roman" w:hAnsi="Times New Roman"/>
          <w:sz w:val="28"/>
          <w:szCs w:val="28"/>
        </w:rPr>
      </w:pPr>
      <w:r>
        <w:rPr>
          <w:rFonts w:ascii="Times New Roman" w:eastAsia="Arial Unicode MS" w:hAnsi="Times New Roman"/>
          <w:sz w:val="28"/>
          <w:szCs w:val="28"/>
          <w:bdr w:val="none" w:sz="0" w:space="0" w:color="auto" w:frame="1"/>
        </w:rPr>
        <w:t>А</w:t>
      </w:r>
      <w:r w:rsidRPr="000A50EB">
        <w:rPr>
          <w:rFonts w:ascii="Times New Roman" w:eastAsia="Arial Unicode MS" w:hAnsi="Times New Roman"/>
          <w:sz w:val="28"/>
          <w:szCs w:val="28"/>
          <w:bdr w:val="none" w:sz="0" w:space="0" w:color="auto" w:frame="1"/>
        </w:rPr>
        <w:t xml:space="preserve">встрійський КПК 1873 р. щодо положень </w:t>
      </w:r>
      <w:r>
        <w:rPr>
          <w:rFonts w:ascii="Times New Roman" w:eastAsia="Arial Unicode MS" w:hAnsi="Times New Roman"/>
          <w:i/>
          <w:sz w:val="28"/>
          <w:szCs w:val="28"/>
          <w:bdr w:val="none" w:sz="0" w:space="0" w:color="auto" w:frame="1"/>
        </w:rPr>
        <w:t>принципу</w:t>
      </w:r>
      <w:r w:rsidRPr="00E409B4">
        <w:rPr>
          <w:rFonts w:ascii="Times New Roman" w:eastAsia="Arial Unicode MS" w:hAnsi="Times New Roman"/>
          <w:i/>
          <w:sz w:val="28"/>
          <w:szCs w:val="28"/>
          <w:bdr w:val="none" w:sz="0" w:space="0" w:color="auto" w:frame="1"/>
        </w:rPr>
        <w:t xml:space="preserve"> вільної оцінки доказів</w:t>
      </w:r>
      <w:r w:rsidRPr="000A50EB">
        <w:rPr>
          <w:rFonts w:ascii="Times New Roman" w:eastAsia="Arial Unicode MS" w:hAnsi="Times New Roman"/>
          <w:sz w:val="28"/>
          <w:szCs w:val="28"/>
          <w:bdr w:val="none" w:sz="0" w:space="0" w:color="auto" w:frame="1"/>
        </w:rPr>
        <w:t xml:space="preserve"> містив тільки один </w:t>
      </w:r>
      <w:r w:rsidRPr="000A50EB">
        <w:rPr>
          <w:rFonts w:ascii="Times New Roman" w:hAnsi="Times New Roman"/>
          <w:sz w:val="28"/>
          <w:szCs w:val="28"/>
        </w:rPr>
        <w:t>виняток, де вказано, якщо попереднє питання стосувалося дійсності шлюбу, рішення цивільного судді, компетентного у цій справі, повинно використовуватись як основа для судового рішення у кримінальній справі. У цьому випадку вирок у цивільній справі мав преюдиційний характер для кримінального судочинства. Причиною прийняття таких положень було у тому, що провадження у справах сімейних опиралося на декреті надвірнім від 1819 р.</w:t>
      </w:r>
    </w:p>
    <w:p w:rsidR="00204EEF" w:rsidRDefault="00204EEF" w:rsidP="00B93C25">
      <w:pPr>
        <w:spacing w:after="0" w:line="360" w:lineRule="auto"/>
        <w:ind w:firstLine="709"/>
        <w:jc w:val="both"/>
        <w:rPr>
          <w:rFonts w:ascii="Times New Roman" w:hAnsi="Times New Roman"/>
          <w:sz w:val="28"/>
          <w:szCs w:val="28"/>
        </w:rPr>
      </w:pPr>
      <w:r w:rsidRPr="00204EEF">
        <w:rPr>
          <w:rFonts w:ascii="Times New Roman" w:hAnsi="Times New Roman"/>
          <w:i/>
          <w:sz w:val="28"/>
          <w:szCs w:val="28"/>
        </w:rPr>
        <w:t>Гласність судочинства</w:t>
      </w:r>
      <w:r w:rsidRPr="000A50EB">
        <w:rPr>
          <w:rFonts w:ascii="Times New Roman" w:hAnsi="Times New Roman"/>
          <w:sz w:val="28"/>
          <w:szCs w:val="28"/>
        </w:rPr>
        <w:t xml:space="preserve"> могла бути двох видів: внутрішня, котра стосувалася сторін й суду і зовнішня, котра опиралася на гласність цілого судочинства та суспільства. Зовнішня гласність могла бути обмеженою до судового розгляду, тому у цьому випадку тільки судовий розгляд був гласним, а попереднє розслідування залишалося таємним. §97 австрійського КПК 1873 р. вказував на таємність попереднього розслідування. Абзац 2 §97 ні </w:t>
      </w:r>
      <w:r>
        <w:rPr>
          <w:rFonts w:ascii="Times New Roman" w:hAnsi="Times New Roman"/>
          <w:sz w:val="28"/>
          <w:szCs w:val="28"/>
        </w:rPr>
        <w:t>повноважний</w:t>
      </w:r>
      <w:r w:rsidRPr="000A50EB">
        <w:rPr>
          <w:rFonts w:ascii="Times New Roman" w:hAnsi="Times New Roman"/>
          <w:sz w:val="28"/>
          <w:szCs w:val="28"/>
        </w:rPr>
        <w:t xml:space="preserve"> обвинувач ні захисник не могли бути присутніми при офіційному допиті підозрюваного або свідків слідчим-суддею.</w:t>
      </w:r>
    </w:p>
    <w:p w:rsidR="00E409B4" w:rsidRDefault="00E409B4" w:rsidP="00B93C25">
      <w:pPr>
        <w:spacing w:after="0" w:line="360" w:lineRule="auto"/>
        <w:ind w:firstLine="709"/>
        <w:jc w:val="both"/>
        <w:rPr>
          <w:rFonts w:ascii="Times New Roman" w:hAnsi="Times New Roman"/>
          <w:sz w:val="28"/>
          <w:szCs w:val="28"/>
        </w:rPr>
      </w:pPr>
      <w:r>
        <w:rPr>
          <w:rFonts w:ascii="Times New Roman" w:eastAsia="Arial Unicode MS" w:hAnsi="Times New Roman"/>
          <w:sz w:val="28"/>
          <w:szCs w:val="28"/>
          <w:bdr w:val="none" w:sz="0" w:space="0" w:color="auto" w:frame="1"/>
        </w:rPr>
        <w:t>З</w:t>
      </w:r>
      <w:r w:rsidRPr="000A50EB">
        <w:rPr>
          <w:rFonts w:ascii="Times New Roman" w:eastAsia="Arial Unicode MS" w:hAnsi="Times New Roman"/>
          <w:sz w:val="28"/>
          <w:szCs w:val="28"/>
          <w:bdr w:val="none" w:sz="0" w:space="0" w:color="auto" w:frame="1"/>
        </w:rPr>
        <w:t>а Австрійським КПК 1873 р</w:t>
      </w:r>
      <w:r>
        <w:rPr>
          <w:rFonts w:ascii="Times New Roman" w:eastAsia="Arial Unicode MS" w:hAnsi="Times New Roman"/>
          <w:sz w:val="28"/>
          <w:szCs w:val="28"/>
          <w:bdr w:val="none" w:sz="0" w:space="0" w:color="auto" w:frame="1"/>
        </w:rPr>
        <w:t>.</w:t>
      </w:r>
      <w:r w:rsidRPr="00E409B4">
        <w:rPr>
          <w:rFonts w:ascii="Times New Roman" w:eastAsia="Arial Unicode MS" w:hAnsi="Times New Roman"/>
          <w:i/>
          <w:sz w:val="28"/>
          <w:szCs w:val="28"/>
          <w:bdr w:val="none" w:sz="0" w:space="0" w:color="auto" w:frame="1"/>
        </w:rPr>
        <w:t>докази</w:t>
      </w:r>
      <w:r>
        <w:rPr>
          <w:rFonts w:ascii="Times New Roman" w:eastAsia="Arial Unicode MS" w:hAnsi="Times New Roman"/>
          <w:sz w:val="28"/>
          <w:szCs w:val="28"/>
          <w:bdr w:val="none" w:sz="0" w:space="0" w:color="auto" w:frame="1"/>
        </w:rPr>
        <w:t xml:space="preserve"> поділялися</w:t>
      </w:r>
      <w:r w:rsidRPr="000A50EB">
        <w:rPr>
          <w:rFonts w:ascii="Times New Roman" w:eastAsia="Arial Unicode MS" w:hAnsi="Times New Roman"/>
          <w:sz w:val="28"/>
          <w:szCs w:val="28"/>
          <w:bdr w:val="none" w:sz="0" w:space="0" w:color="auto" w:frame="1"/>
        </w:rPr>
        <w:t xml:space="preserve"> щодо їх джерела та щодо їх предмета.Докази щодо їх джерела були додатково розділені на прямі докази і непрямі докази. </w:t>
      </w:r>
      <w:r w:rsidRPr="000A50EB">
        <w:rPr>
          <w:rFonts w:ascii="Times New Roman" w:hAnsi="Times New Roman"/>
          <w:sz w:val="28"/>
          <w:szCs w:val="28"/>
        </w:rPr>
        <w:t>Джерелом прямих доказів могли бути лише висновки, зроблені особисто суддею або третіми сторонами, які потім повідомляли суддю про них, а підставою для непрямих доказів послужили висновки судді, які полягали у встановленні достовірності факту, що були предметом доказів. Докази щодо предмета обвинувачення поділялися на обвинувальні докази та виправдувальні докази.</w:t>
      </w:r>
      <w:r w:rsidRPr="00E409B4">
        <w:rPr>
          <w:rFonts w:ascii="Times New Roman" w:hAnsi="Times New Roman"/>
          <w:sz w:val="28"/>
          <w:szCs w:val="28"/>
        </w:rPr>
        <w:t xml:space="preserve">тодішня правова література пов’язувала поняття доказів з поняттям засобів доказування які розумілися як будь-яка процесуальна діяльність, що дозволяє отримати докази у суді. В австрійському кримінальному судочинстві виділяли такі засоби доказування: огляд, висновки експертів, показання свідків, показання підозрюваного (обвинуваченого), листи й документи та узгодження </w:t>
      </w:r>
      <w:r w:rsidRPr="00E409B4">
        <w:rPr>
          <w:rFonts w:ascii="Times New Roman" w:hAnsi="Times New Roman"/>
          <w:sz w:val="28"/>
          <w:szCs w:val="28"/>
        </w:rPr>
        <w:lastRenderedPageBreak/>
        <w:t>кількох непрямих доказів. Велику увагу в кодексі було приділено експертам, що мали два завдання: перше – вивчення матеріальних доказів, друге – подання відповідних висновків експертизи та їх обґрунтування. Виклик експертів залежав від волі судді, за загальним правилом суддя викликав двох експертів. Випадок меншого значення, коли можна було викликати лише одного експерта, був винятком з правила.</w:t>
      </w:r>
      <w:r>
        <w:rPr>
          <w:rFonts w:ascii="Times New Roman" w:hAnsi="Times New Roman"/>
          <w:sz w:val="28"/>
          <w:szCs w:val="28"/>
        </w:rPr>
        <w:t xml:space="preserve"> Кодекс </w:t>
      </w:r>
      <w:r w:rsidRPr="00E409B4">
        <w:rPr>
          <w:rFonts w:ascii="Times New Roman" w:hAnsi="Times New Roman"/>
          <w:sz w:val="28"/>
          <w:szCs w:val="28"/>
        </w:rPr>
        <w:t xml:space="preserve">вперше врегульовував положення про експертний висновок як самостійний доказовий засіб у кримінальному судочинстві, котрі були включені у главі XI, де, також містилися положення про огляд місця події. Водночас, простежувалася тенденція замість експертів – приватних осіб залучати державні установи та інститути у деяких сферах, наприклад фінансовій, медичній та ін. </w:t>
      </w:r>
    </w:p>
    <w:p w:rsidR="00E409B4" w:rsidRDefault="00E409B4" w:rsidP="00B93C25">
      <w:pPr>
        <w:tabs>
          <w:tab w:val="left" w:pos="2268"/>
        </w:tabs>
        <w:spacing w:after="0" w:line="360" w:lineRule="auto"/>
        <w:ind w:firstLine="709"/>
        <w:jc w:val="both"/>
        <w:rPr>
          <w:rFonts w:ascii="Times New Roman" w:hAnsi="Times New Roman"/>
          <w:sz w:val="28"/>
          <w:szCs w:val="28"/>
        </w:rPr>
      </w:pPr>
      <w:r w:rsidRPr="000A50EB">
        <w:rPr>
          <w:rFonts w:ascii="Times New Roman" w:hAnsi="Times New Roman"/>
          <w:sz w:val="28"/>
          <w:szCs w:val="28"/>
        </w:rPr>
        <w:t xml:space="preserve">У межах австрійського </w:t>
      </w:r>
      <w:r>
        <w:rPr>
          <w:rFonts w:ascii="Times New Roman" w:hAnsi="Times New Roman"/>
          <w:sz w:val="28"/>
          <w:szCs w:val="28"/>
        </w:rPr>
        <w:t>КПК</w:t>
      </w:r>
      <w:r w:rsidRPr="000A50EB">
        <w:rPr>
          <w:rFonts w:ascii="Times New Roman" w:hAnsi="Times New Roman"/>
          <w:sz w:val="28"/>
          <w:szCs w:val="28"/>
        </w:rPr>
        <w:t xml:space="preserve"> 1873 р. під </w:t>
      </w:r>
      <w:r w:rsidRPr="00E409B4">
        <w:rPr>
          <w:rFonts w:ascii="Times New Roman" w:hAnsi="Times New Roman"/>
          <w:i/>
          <w:sz w:val="28"/>
          <w:szCs w:val="28"/>
        </w:rPr>
        <w:t>юрисдикцією суду</w:t>
      </w:r>
      <w:r w:rsidRPr="000A50EB">
        <w:rPr>
          <w:rFonts w:ascii="Times New Roman" w:hAnsi="Times New Roman"/>
          <w:sz w:val="28"/>
          <w:szCs w:val="28"/>
        </w:rPr>
        <w:t xml:space="preserve"> (</w:t>
      </w:r>
      <w:r w:rsidRPr="000A50EB">
        <w:rPr>
          <w:rFonts w:ascii="Times New Roman" w:hAnsi="Times New Roman"/>
          <w:i/>
          <w:sz w:val="28"/>
          <w:szCs w:val="28"/>
        </w:rPr>
        <w:t>foricompetentia</w:t>
      </w:r>
      <w:r w:rsidRPr="000A50EB">
        <w:rPr>
          <w:rFonts w:ascii="Times New Roman" w:hAnsi="Times New Roman"/>
          <w:sz w:val="28"/>
          <w:szCs w:val="28"/>
        </w:rPr>
        <w:t xml:space="preserve">) розуміли право й одночасно обов’язок суду виключно здійснювати свої повноваження у конкретній справі. Австрійський КПК 1873 р. встановлював </w:t>
      </w:r>
      <w:r w:rsidRPr="00E409B4">
        <w:rPr>
          <w:rFonts w:ascii="Times New Roman" w:hAnsi="Times New Roman"/>
          <w:i/>
          <w:sz w:val="28"/>
          <w:szCs w:val="28"/>
        </w:rPr>
        <w:t>загальну</w:t>
      </w:r>
      <w:r w:rsidRPr="000A50EB">
        <w:rPr>
          <w:rFonts w:ascii="Times New Roman" w:hAnsi="Times New Roman"/>
          <w:sz w:val="28"/>
          <w:szCs w:val="28"/>
        </w:rPr>
        <w:t xml:space="preserve"> й </w:t>
      </w:r>
      <w:r w:rsidRPr="00E409B4">
        <w:rPr>
          <w:rFonts w:ascii="Times New Roman" w:hAnsi="Times New Roman"/>
          <w:i/>
          <w:sz w:val="28"/>
          <w:szCs w:val="28"/>
        </w:rPr>
        <w:t>винятковуюрисдикції</w:t>
      </w:r>
      <w:r w:rsidRPr="000A50EB">
        <w:rPr>
          <w:rFonts w:ascii="Times New Roman" w:hAnsi="Times New Roman"/>
          <w:sz w:val="28"/>
          <w:szCs w:val="28"/>
        </w:rPr>
        <w:t xml:space="preserve">, критерієм котрих був персональний характер, а саме правовідносини, що вирішувалися у військових судах, а також, правовідносини, що регулювалися міжнародним правом. </w:t>
      </w:r>
      <w:r>
        <w:rPr>
          <w:rFonts w:ascii="Times New Roman" w:hAnsi="Times New Roman"/>
          <w:sz w:val="28"/>
          <w:szCs w:val="28"/>
        </w:rPr>
        <w:t>Ю</w:t>
      </w:r>
      <w:r w:rsidRPr="000A50EB">
        <w:rPr>
          <w:rFonts w:ascii="Times New Roman" w:hAnsi="Times New Roman"/>
          <w:sz w:val="28"/>
          <w:szCs w:val="28"/>
        </w:rPr>
        <w:t>рисдикці</w:t>
      </w:r>
      <w:r>
        <w:rPr>
          <w:rFonts w:ascii="Times New Roman" w:hAnsi="Times New Roman"/>
          <w:sz w:val="28"/>
          <w:szCs w:val="28"/>
        </w:rPr>
        <w:t>я</w:t>
      </w:r>
      <w:r w:rsidRPr="000A50EB">
        <w:rPr>
          <w:rFonts w:ascii="Times New Roman" w:hAnsi="Times New Roman"/>
          <w:sz w:val="28"/>
          <w:szCs w:val="28"/>
        </w:rPr>
        <w:t xml:space="preserve"> суду, поділялася на </w:t>
      </w:r>
      <w:r w:rsidRPr="00BC4084">
        <w:rPr>
          <w:rFonts w:ascii="Times New Roman" w:hAnsi="Times New Roman"/>
          <w:i/>
          <w:sz w:val="28"/>
          <w:szCs w:val="28"/>
        </w:rPr>
        <w:t>територіальну</w:t>
      </w:r>
      <w:r w:rsidRPr="000A50EB">
        <w:rPr>
          <w:rFonts w:ascii="Times New Roman" w:hAnsi="Times New Roman"/>
          <w:sz w:val="28"/>
          <w:szCs w:val="28"/>
        </w:rPr>
        <w:t xml:space="preserve">, яка могла бути: звичайною (що ґрунтувалася на загальних положеннях закону) й надзвичайна (базувалася на винятковому положенні, що існувало тільки для певної особливої справи, що стосувалося чисто зовнішніх й випадкових обставин, які вимагали для вирішення конкретної справи залучення іншого суду), а також </w:t>
      </w:r>
      <w:r w:rsidRPr="00BC4084">
        <w:rPr>
          <w:rFonts w:ascii="Times New Roman" w:hAnsi="Times New Roman"/>
          <w:i/>
          <w:sz w:val="28"/>
          <w:szCs w:val="28"/>
        </w:rPr>
        <w:t>предметну</w:t>
      </w:r>
      <w:r w:rsidRPr="000A50EB">
        <w:rPr>
          <w:rFonts w:ascii="Times New Roman" w:hAnsi="Times New Roman"/>
          <w:sz w:val="28"/>
          <w:szCs w:val="28"/>
        </w:rPr>
        <w:t xml:space="preserve"> (родову).</w:t>
      </w:r>
    </w:p>
    <w:p w:rsidR="00DC58DC" w:rsidRDefault="00DC58DC" w:rsidP="00B93C25">
      <w:pPr>
        <w:tabs>
          <w:tab w:val="left" w:pos="2268"/>
        </w:tabs>
        <w:spacing w:after="0" w:line="360" w:lineRule="auto"/>
        <w:ind w:firstLine="709"/>
        <w:jc w:val="both"/>
        <w:rPr>
          <w:rFonts w:ascii="Times New Roman" w:hAnsi="Times New Roman"/>
          <w:sz w:val="28"/>
          <w:szCs w:val="28"/>
          <w:lang w:bidi="pl-PL"/>
        </w:rPr>
      </w:pPr>
      <w:r w:rsidRPr="000A50EB">
        <w:rPr>
          <w:rFonts w:ascii="Times New Roman" w:hAnsi="Times New Roman"/>
          <w:sz w:val="28"/>
          <w:szCs w:val="28"/>
          <w:lang w:bidi="pl-PL"/>
        </w:rPr>
        <w:t xml:space="preserve">Австрійський КПК 1873 р. містив положення, що регулювали </w:t>
      </w:r>
      <w:r w:rsidRPr="000A50EB">
        <w:rPr>
          <w:rFonts w:ascii="Times New Roman" w:hAnsi="Times New Roman"/>
          <w:i/>
          <w:sz w:val="28"/>
          <w:szCs w:val="28"/>
          <w:lang w:bidi="pl-PL"/>
        </w:rPr>
        <w:t>повноваження некомпетентних судів.</w:t>
      </w:r>
      <w:r w:rsidRPr="000A50EB">
        <w:rPr>
          <w:rFonts w:ascii="Times New Roman" w:hAnsi="Times New Roman"/>
          <w:sz w:val="28"/>
          <w:szCs w:val="28"/>
          <w:lang w:bidi="pl-PL"/>
        </w:rPr>
        <w:t xml:space="preserve"> Так, відповідно до §65 всі суди, включаючи некомпетентних в окрузі котрих виявлялися ознаки злочину або кримінального правопорушення, мали право й обов’язок, якщо існували причини затримки здійснювати всі необхідні процесуальні діяння, які могли служити для встановлення фактичних обставин справи або затримання підозрюваної особи. Проте, такі суди повинні були негайно повідомити про це </w:t>
      </w:r>
      <w:r w:rsidRPr="000A50EB">
        <w:rPr>
          <w:rFonts w:ascii="Times New Roman" w:hAnsi="Times New Roman"/>
          <w:sz w:val="28"/>
          <w:szCs w:val="28"/>
          <w:lang w:bidi="pl-PL"/>
        </w:rPr>
        <w:lastRenderedPageBreak/>
        <w:t>компетентні суди або державні прокуратури та надіслати їм матеріали по кримінальній справі, котру вони ініціювали. Суттєвим було те, що слідчі дії, вчинені некомпетентними кримінальними судами, крім діянь вказаних у попередньому §65, не були самі по собі недійсними, за умови, що вони застосовувалися тільки до попереднього слідства, компетентний суд вирішував, чи потрібно було провести повторне розслідування чи доповнити уже проведене (§66)</w:t>
      </w:r>
      <w:r>
        <w:rPr>
          <w:rFonts w:ascii="Times New Roman" w:hAnsi="Times New Roman"/>
          <w:sz w:val="28"/>
          <w:szCs w:val="28"/>
          <w:lang w:bidi="pl-PL"/>
        </w:rPr>
        <w:t>.</w:t>
      </w:r>
    </w:p>
    <w:p w:rsidR="00DC58DC" w:rsidRPr="000A50EB" w:rsidRDefault="00DC58DC" w:rsidP="00B93C25">
      <w:pPr>
        <w:tabs>
          <w:tab w:val="left" w:pos="2268"/>
        </w:tabs>
        <w:spacing w:after="0" w:line="360" w:lineRule="auto"/>
        <w:ind w:firstLine="709"/>
        <w:jc w:val="both"/>
        <w:rPr>
          <w:rFonts w:ascii="Times New Roman" w:eastAsia="Arial Unicode MS" w:hAnsi="Times New Roman"/>
          <w:b/>
          <w:sz w:val="28"/>
          <w:szCs w:val="28"/>
          <w:bdr w:val="none" w:sz="0" w:space="0" w:color="auto" w:frame="1"/>
        </w:rPr>
      </w:pPr>
      <w:r w:rsidRPr="000A50EB">
        <w:rPr>
          <w:rFonts w:ascii="Times New Roman" w:hAnsi="Times New Roman"/>
          <w:sz w:val="28"/>
          <w:szCs w:val="28"/>
          <w:lang w:bidi="pl-PL"/>
        </w:rPr>
        <w:t xml:space="preserve">До </w:t>
      </w:r>
      <w:r w:rsidRPr="00DC58DC">
        <w:rPr>
          <w:rFonts w:ascii="Times New Roman" w:hAnsi="Times New Roman"/>
          <w:i/>
          <w:sz w:val="28"/>
          <w:szCs w:val="28"/>
          <w:lang w:bidi="pl-PL"/>
        </w:rPr>
        <w:t>витрат</w:t>
      </w:r>
      <w:r w:rsidRPr="000A50EB">
        <w:rPr>
          <w:rFonts w:ascii="Times New Roman" w:hAnsi="Times New Roman"/>
          <w:sz w:val="28"/>
          <w:szCs w:val="28"/>
          <w:lang w:bidi="pl-PL"/>
        </w:rPr>
        <w:t xml:space="preserve"> на кримінальне судочинство, які могли бути покладені на обвинуваченого відносилися: 1) витрати на доставлення, виклик та кур’єрські послуги; 2) витрати на виклик, охорону (супроводження)йтранспортування відповідача або інших осіб; 3) витрати на гонорари свідків, експертів, перекладачів; 4) витрати на гонорари адвокатів та інших представників сторін; 5) витрати на утримання обвинуваченого під вартою; 6) витрати на проїзд та оплату праці судових осіб та прокурорів, а також витрати на проїзд присяжних суддів; 7) витрати на виконання судового рішення. Такі витрати, за виключенням гонорарів, вказаних у п. 4 оплачувалися державою при умові відшкодування відповідних витрат, передбачених §§389–391</w:t>
      </w:r>
      <w:r>
        <w:rPr>
          <w:rFonts w:ascii="Times New Roman" w:hAnsi="Times New Roman"/>
          <w:sz w:val="28"/>
          <w:szCs w:val="28"/>
          <w:lang w:bidi="pl-PL"/>
        </w:rPr>
        <w:t>.</w:t>
      </w:r>
    </w:p>
    <w:p w:rsidR="00F7687E" w:rsidRDefault="00DC58DC" w:rsidP="00B93C25">
      <w:pPr>
        <w:tabs>
          <w:tab w:val="left" w:pos="2268"/>
        </w:tabs>
        <w:spacing w:after="0" w:line="360" w:lineRule="auto"/>
        <w:ind w:firstLine="709"/>
        <w:jc w:val="both"/>
        <w:rPr>
          <w:rFonts w:ascii="Times New Roman" w:eastAsia="Arial Unicode MS" w:hAnsi="Times New Roman"/>
          <w:sz w:val="28"/>
          <w:szCs w:val="28"/>
          <w:bdr w:val="none" w:sz="0" w:space="0" w:color="auto" w:frame="1"/>
        </w:rPr>
      </w:pPr>
      <w:r w:rsidRPr="000A50EB">
        <w:rPr>
          <w:rFonts w:ascii="Times New Roman" w:eastAsia="Arial Unicode MS" w:hAnsi="Times New Roman"/>
          <w:sz w:val="28"/>
          <w:szCs w:val="28"/>
          <w:bdr w:val="none" w:sz="0" w:space="0" w:color="auto" w:frame="1"/>
        </w:rPr>
        <w:t xml:space="preserve">З’ясовано, що австрійський Кримінально-процесуальний кодекс 1873 р. встановлював чіткі терміни </w:t>
      </w:r>
      <w:r w:rsidRPr="00DC58DC">
        <w:rPr>
          <w:rFonts w:ascii="Times New Roman" w:eastAsia="Arial Unicode MS" w:hAnsi="Times New Roman"/>
          <w:i/>
          <w:sz w:val="28"/>
          <w:szCs w:val="28"/>
          <w:bdr w:val="none" w:sz="0" w:space="0" w:color="auto" w:frame="1"/>
        </w:rPr>
        <w:t xml:space="preserve">подання </w:t>
      </w:r>
      <w:r>
        <w:rPr>
          <w:rFonts w:ascii="Times New Roman" w:eastAsia="Arial Unicode MS" w:hAnsi="Times New Roman"/>
          <w:i/>
          <w:sz w:val="28"/>
          <w:szCs w:val="28"/>
          <w:bdr w:val="none" w:sz="0" w:space="0" w:color="auto" w:frame="1"/>
        </w:rPr>
        <w:t>скарги (заяви)</w:t>
      </w:r>
      <w:r w:rsidRPr="000A50EB">
        <w:rPr>
          <w:rFonts w:ascii="Times New Roman" w:eastAsia="Arial Unicode MS" w:hAnsi="Times New Roman"/>
          <w:sz w:val="28"/>
          <w:szCs w:val="28"/>
          <w:bdr w:val="none" w:sz="0" w:space="0" w:color="auto" w:frame="1"/>
        </w:rPr>
        <w:t xml:space="preserve"> – не пізніше шести тижнів з часу скоєння злочину. Згідно з роз’ясненням Міністерства юстиції від 28 лютого 1879 р. саме дата скоєння злочину, а не дата, коли стало відомо про нього, вважалася вихідною точкою у встановленні граничних термінів. Прокурор був зобов’язаний ознайомитися з усіма повідомленнями щодо злочинів, у т.ч. анонімними. Прокурор також володів правом звертатися до суду щодо початку попереднього судового слідства у справі, клопотати про проведення обшуку будинку. Підтверджено нечіткий розподіл компетенції між слідчим суддею і прокурором у контексті початку досудового слідства, а також те, що впровадження попереднього слідства у процес, яке передувало головному слідству, стало нововведенням австрійського КПК 1873 р. </w:t>
      </w:r>
    </w:p>
    <w:p w:rsidR="00F7687E" w:rsidRDefault="00F7687E" w:rsidP="00B93C25">
      <w:pPr>
        <w:tabs>
          <w:tab w:val="left" w:pos="2268"/>
        </w:tabs>
        <w:spacing w:after="0" w:line="360" w:lineRule="auto"/>
        <w:ind w:firstLine="709"/>
        <w:jc w:val="both"/>
        <w:rPr>
          <w:rFonts w:ascii="Times New Roman" w:eastAsia="Times New Roman" w:hAnsi="Times New Roman"/>
          <w:sz w:val="28"/>
          <w:szCs w:val="28"/>
          <w:bdr w:val="none" w:sz="0" w:space="0" w:color="auto" w:frame="1"/>
        </w:rPr>
      </w:pPr>
      <w:r w:rsidRPr="00F7687E">
        <w:rPr>
          <w:rFonts w:ascii="Times New Roman" w:eastAsia="Times New Roman" w:hAnsi="Times New Roman"/>
          <w:i/>
          <w:sz w:val="28"/>
          <w:szCs w:val="28"/>
          <w:bdr w:val="none" w:sz="0" w:space="0" w:color="auto" w:frame="1"/>
        </w:rPr>
        <w:lastRenderedPageBreak/>
        <w:t>Підготовчі приготування (провадження)</w:t>
      </w:r>
      <w:r w:rsidRPr="000A50EB">
        <w:rPr>
          <w:rFonts w:ascii="Times New Roman" w:eastAsia="Times New Roman" w:hAnsi="Times New Roman"/>
          <w:sz w:val="28"/>
          <w:szCs w:val="28"/>
          <w:bdr w:val="none" w:sz="0" w:space="0" w:color="auto" w:frame="1"/>
        </w:rPr>
        <w:t xml:space="preserve"> були в інтересах обох сторін, оскільки давало можливість предметно підготовитися до головного розгляду. Підготовчий етап починався з відкриттям кримінальної справи, а завершувався ухвалою суду про початок судового розгляду (</w:t>
      </w:r>
      <w:r w:rsidRPr="000A50EB">
        <w:rPr>
          <w:rFonts w:ascii="Times New Roman" w:eastAsia="Times New Roman" w:hAnsi="Times New Roman"/>
          <w:i/>
          <w:sz w:val="28"/>
          <w:szCs w:val="28"/>
          <w:bdr w:val="none" w:sz="0" w:space="0" w:color="auto" w:frame="1"/>
        </w:rPr>
        <w:t>головного судочинства</w:t>
      </w:r>
      <w:r w:rsidRPr="000A50EB">
        <w:rPr>
          <w:rFonts w:ascii="Times New Roman" w:eastAsia="Times New Roman" w:hAnsi="Times New Roman"/>
          <w:sz w:val="28"/>
          <w:szCs w:val="28"/>
          <w:bdr w:val="none" w:sz="0" w:space="0" w:color="auto" w:frame="1"/>
        </w:rPr>
        <w:t>). Цей етап містив такі дії: 1) допит (</w:t>
      </w:r>
      <w:r w:rsidRPr="000A50EB">
        <w:rPr>
          <w:rFonts w:ascii="Times New Roman" w:eastAsia="Times New Roman" w:hAnsi="Times New Roman"/>
          <w:i/>
          <w:sz w:val="28"/>
          <w:szCs w:val="28"/>
          <w:bdr w:val="none" w:sz="0" w:space="0" w:color="auto" w:frame="1"/>
        </w:rPr>
        <w:t>дізнання</w:t>
      </w:r>
      <w:r w:rsidRPr="000A50EB">
        <w:rPr>
          <w:rFonts w:ascii="Times New Roman" w:eastAsia="Times New Roman" w:hAnsi="Times New Roman"/>
          <w:sz w:val="28"/>
          <w:szCs w:val="28"/>
          <w:bdr w:val="none" w:sz="0" w:space="0" w:color="auto" w:frame="1"/>
        </w:rPr>
        <w:t>); 2) слідство; 3) внесення акту обвинувачення. Обвинувачення – це твердження про вчинення певною особою діяння, що підпадало під кримінальну відповідальність і було висунуте в порядку, встановленим чинним на той час законодавством.</w:t>
      </w:r>
    </w:p>
    <w:p w:rsidR="00F7687E" w:rsidRDefault="00F7687E" w:rsidP="00B93C25">
      <w:pPr>
        <w:tabs>
          <w:tab w:val="left" w:pos="2268"/>
        </w:tabs>
        <w:spacing w:after="0" w:line="360" w:lineRule="auto"/>
        <w:ind w:firstLine="709"/>
        <w:jc w:val="both"/>
        <w:rPr>
          <w:rFonts w:ascii="Times New Roman" w:eastAsia="Times New Roman" w:hAnsi="Times New Roman"/>
          <w:sz w:val="28"/>
          <w:szCs w:val="28"/>
          <w:bdr w:val="none" w:sz="0" w:space="0" w:color="auto" w:frame="1"/>
        </w:rPr>
      </w:pPr>
      <w:r w:rsidRPr="000A50EB">
        <w:rPr>
          <w:rFonts w:ascii="Times New Roman" w:eastAsia="Times New Roman" w:hAnsi="Times New Roman"/>
          <w:sz w:val="28"/>
          <w:szCs w:val="28"/>
          <w:bdr w:val="none" w:sz="0" w:space="0" w:color="auto" w:frame="1"/>
        </w:rPr>
        <w:t>Структура акту обвинувачення містила такі складові: 1) ім’я і прізвище обвинуваченого; 2) суть вчиненого злочину із зазначенням його місця і дати; 3) перелік статей Кримінального кодексу або інших законів, порушених обвинуваченим; 4) назва суду, який мав розглянути справу. До акту обвинувачення також додавали короткий, але вичерпний висновок про вчинене правопорушення, базований на матеріалах попереднього слідства (згідно з §207 Кримінально-процесуального кодексу)</w:t>
      </w:r>
      <w:r>
        <w:rPr>
          <w:rFonts w:ascii="Times New Roman" w:eastAsia="Times New Roman" w:hAnsi="Times New Roman"/>
          <w:sz w:val="28"/>
          <w:szCs w:val="28"/>
          <w:bdr w:val="none" w:sz="0" w:space="0" w:color="auto" w:frame="1"/>
        </w:rPr>
        <w:t>.</w:t>
      </w:r>
    </w:p>
    <w:p w:rsidR="00F7687E" w:rsidRPr="000A50EB" w:rsidRDefault="00F7687E" w:rsidP="00B93C25">
      <w:pPr>
        <w:spacing w:after="0" w:line="360" w:lineRule="auto"/>
        <w:ind w:firstLine="567"/>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П</w:t>
      </w:r>
      <w:r w:rsidRPr="000A50EB">
        <w:rPr>
          <w:rFonts w:ascii="Times New Roman" w:eastAsia="Times New Roman" w:hAnsi="Times New Roman"/>
          <w:sz w:val="28"/>
          <w:szCs w:val="28"/>
          <w:bdr w:val="none" w:sz="0" w:space="0" w:color="auto" w:frame="1"/>
        </w:rPr>
        <w:t>ідготовча частина судового процесу полягала у вчиненні судом низці дій перед тим як безпосередньо перейти до розгляду справи на головному судовому засіданні. Підготовче судове засідання відбувалося за участю прокурора, обвинуваченого, захисника, потерпілого, його представника, цивільного позивача (його представника), цивільного відповідача (його представника). У підготовчому судовому засіданні суд мав право призначити головний судовий розгляд на підставі обвинувального акту, клопотати про застосування примусових заходів, закрити провадження у випадку встановлення підстав, повернути обвинувальний акт. Після завершення підготовки до судового розгляду суд постановляв про призначення судового розгляду.</w:t>
      </w:r>
    </w:p>
    <w:p w:rsidR="00F7687E" w:rsidRDefault="00F7687E" w:rsidP="00B93C25">
      <w:pPr>
        <w:spacing w:after="0" w:line="360" w:lineRule="auto"/>
        <w:ind w:firstLine="567"/>
        <w:jc w:val="both"/>
        <w:rPr>
          <w:rFonts w:ascii="Times New Roman" w:eastAsia="Arial Unicode MS" w:hAnsi="Times New Roman"/>
          <w:sz w:val="28"/>
          <w:szCs w:val="28"/>
          <w:bdr w:val="none" w:sz="0" w:space="0" w:color="auto" w:frame="1"/>
        </w:rPr>
      </w:pPr>
      <w:r w:rsidRPr="000A50EB">
        <w:rPr>
          <w:rFonts w:ascii="Times New Roman" w:eastAsia="Times New Roman" w:hAnsi="Times New Roman"/>
          <w:sz w:val="28"/>
          <w:szCs w:val="28"/>
          <w:bdr w:val="none" w:sz="0" w:space="0" w:color="auto" w:frame="1"/>
        </w:rPr>
        <w:t xml:space="preserve">Предметом приватного обвинувачення були крадіжки, правопорушення проти честі, безпеки руху, таємниці листування, авторських прав, інтелектуальної власності, патентного права і т.п. Для порушення справи приватного обвинувачення вистачало вказати лише факт вчинення злочину і бажання покарати злочинця. До предмета державного обвинувачення у </w:t>
      </w:r>
      <w:r w:rsidRPr="00F7687E">
        <w:rPr>
          <w:rFonts w:ascii="Times New Roman" w:eastAsia="Times New Roman" w:hAnsi="Times New Roman"/>
          <w:sz w:val="28"/>
          <w:szCs w:val="28"/>
          <w:bdr w:val="none" w:sz="0" w:space="0" w:color="auto" w:frame="1"/>
        </w:rPr>
        <w:t xml:space="preserve">скарзі </w:t>
      </w:r>
      <w:r w:rsidRPr="000A50EB">
        <w:rPr>
          <w:rFonts w:ascii="Times New Roman" w:eastAsia="Times New Roman" w:hAnsi="Times New Roman"/>
          <w:sz w:val="28"/>
          <w:szCs w:val="28"/>
          <w:bdr w:val="none" w:sz="0" w:space="0" w:color="auto" w:frame="1"/>
        </w:rPr>
        <w:lastRenderedPageBreak/>
        <w:t xml:space="preserve">належали дії, які загрожували суспільній безпеці. Варто відзначити, що до таких правопорушень австрійське законодавство відносило, зокрема, словесну образу честі й гідності імператора, армії та флоту, державних урядників, релігії. </w:t>
      </w:r>
    </w:p>
    <w:p w:rsidR="00F7687E" w:rsidRDefault="00F7687E" w:rsidP="00B93C25">
      <w:pPr>
        <w:tabs>
          <w:tab w:val="left" w:pos="2268"/>
        </w:tabs>
        <w:spacing w:after="0" w:line="360" w:lineRule="auto"/>
        <w:ind w:firstLine="709"/>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Скарга</w:t>
      </w:r>
      <w:r w:rsidRPr="000A50EB">
        <w:rPr>
          <w:rFonts w:ascii="Times New Roman" w:eastAsia="Times New Roman" w:hAnsi="Times New Roman"/>
          <w:sz w:val="28"/>
          <w:szCs w:val="28"/>
          <w:bdr w:val="none" w:sz="0" w:space="0" w:color="auto" w:frame="1"/>
        </w:rPr>
        <w:t>, як і передбачало законодавство, подавався до того суду, в окрузі якого було вчинено злочин (§51). Якщо ж злочин був вчинений у декількох округах (наприклад, серія пограбувань в різних повітах Галичини) або на кордоні між різними судовими округами, то справа розглядалася за принципом першості – той суд, який почав слідчі дії, і розглядав справу</w:t>
      </w:r>
      <w:r>
        <w:rPr>
          <w:rFonts w:ascii="Times New Roman" w:eastAsia="Times New Roman" w:hAnsi="Times New Roman"/>
          <w:sz w:val="28"/>
          <w:szCs w:val="28"/>
          <w:bdr w:val="none" w:sz="0" w:space="0" w:color="auto" w:frame="1"/>
        </w:rPr>
        <w:t>.</w:t>
      </w:r>
    </w:p>
    <w:p w:rsidR="00F7687E" w:rsidRDefault="00F7687E" w:rsidP="00B93C25">
      <w:pPr>
        <w:tabs>
          <w:tab w:val="left" w:pos="2268"/>
        </w:tabs>
        <w:spacing w:after="0" w:line="360" w:lineRule="auto"/>
        <w:ind w:firstLine="709"/>
        <w:jc w:val="both"/>
        <w:rPr>
          <w:rFonts w:ascii="Times New Roman" w:eastAsia="Times New Roman" w:hAnsi="Times New Roman"/>
          <w:sz w:val="28"/>
          <w:szCs w:val="28"/>
          <w:bdr w:val="none" w:sz="0" w:space="0" w:color="auto" w:frame="1"/>
        </w:rPr>
      </w:pPr>
      <w:r w:rsidRPr="00F7687E">
        <w:rPr>
          <w:rFonts w:ascii="Times New Roman" w:eastAsia="Times New Roman" w:hAnsi="Times New Roman"/>
          <w:i/>
          <w:sz w:val="28"/>
          <w:szCs w:val="28"/>
          <w:bdr w:val="none" w:sz="0" w:space="0" w:color="auto" w:frame="1"/>
        </w:rPr>
        <w:t>Головне судове засідання</w:t>
      </w:r>
      <w:r w:rsidRPr="000A50EB">
        <w:rPr>
          <w:rFonts w:ascii="Times New Roman" w:eastAsia="Times New Roman" w:hAnsi="Times New Roman"/>
          <w:sz w:val="28"/>
          <w:szCs w:val="28"/>
          <w:bdr w:val="none" w:sz="0" w:space="0" w:color="auto" w:frame="1"/>
        </w:rPr>
        <w:t xml:space="preserve"> у справі призначали не швидше, ніж через три дні з часу вступу в силу акту обвинувачення. Визначений термін був необхідним для організації процесу, підготовки сторін, повідомлення свідків тощо. Якщо котрась зі сторін процесу вважала за потрібне залучити нових свідків або експертів, вона зобов’язувалася обґрунтувати це і вчасно повідомити суд (не пізніше, ніж за три дні до судового засідання). У випадку, коли певна сторона не подала належного обґрунтування потреби залучення нових свідків, суд був в праві відхилити таке прохання, навіть у випадку, коли протилежна сторона не була проти</w:t>
      </w:r>
      <w:r w:rsidR="006413C5">
        <w:rPr>
          <w:rFonts w:ascii="Times New Roman" w:eastAsia="Times New Roman" w:hAnsi="Times New Roman"/>
          <w:sz w:val="28"/>
          <w:szCs w:val="28"/>
          <w:bdr w:val="none" w:sz="0" w:space="0" w:color="auto" w:frame="1"/>
        </w:rPr>
        <w:t>.</w:t>
      </w:r>
    </w:p>
    <w:p w:rsidR="006413C5" w:rsidRPr="000A50EB" w:rsidRDefault="006413C5" w:rsidP="00B93C25">
      <w:pPr>
        <w:spacing w:after="0" w:line="360" w:lineRule="auto"/>
        <w:ind w:firstLine="567"/>
        <w:jc w:val="both"/>
        <w:rPr>
          <w:rFonts w:ascii="Times New Roman" w:eastAsia="Times New Roman" w:hAnsi="Times New Roman"/>
          <w:sz w:val="28"/>
          <w:szCs w:val="28"/>
          <w:bdr w:val="none" w:sz="0" w:space="0" w:color="auto" w:frame="1"/>
        </w:rPr>
      </w:pPr>
      <w:r w:rsidRPr="000A50EB">
        <w:rPr>
          <w:rFonts w:ascii="Times New Roman" w:eastAsia="Times New Roman" w:hAnsi="Times New Roman"/>
          <w:sz w:val="28"/>
          <w:szCs w:val="28"/>
          <w:bdr w:val="none" w:sz="0" w:space="0" w:color="auto" w:frame="1"/>
        </w:rPr>
        <w:t>Головне судове засідання було публічним і на ньому могли бути присутні повнолітні особи. Воно розпочиналося оголошенням справи та перевіркою, чи всі викликані до суду присутні (крім, звісно, перевірки присутності суддів та інших судових працівників). Якщо на судове засідання не з’явився обвинувачений у вчиненні кримінального злочину, суд володів правом наказати привести його силоміць. Обвинувачений повинен був постати</w:t>
      </w:r>
      <w:r>
        <w:rPr>
          <w:rFonts w:ascii="Times New Roman" w:eastAsia="Times New Roman" w:hAnsi="Times New Roman"/>
          <w:sz w:val="28"/>
          <w:szCs w:val="28"/>
          <w:bdr w:val="none" w:sz="0" w:space="0" w:color="auto" w:frame="1"/>
        </w:rPr>
        <w:t xml:space="preserve"> перед судом без кайданів</w:t>
      </w:r>
      <w:r w:rsidRPr="000A50EB">
        <w:rPr>
          <w:rFonts w:ascii="Times New Roman" w:eastAsia="Times New Roman" w:hAnsi="Times New Roman"/>
          <w:sz w:val="28"/>
          <w:szCs w:val="28"/>
          <w:bdr w:val="none" w:sz="0" w:space="0" w:color="auto" w:frame="1"/>
        </w:rPr>
        <w:t xml:space="preserve">. Предмети, які становили доказову базу і підлягали розпізнанню, повинні були внесені до судової зали перед початком засідання. Якщо не прибув приватний обвинувач, це могло означати відмову від обвинувачення. </w:t>
      </w:r>
    </w:p>
    <w:p w:rsidR="006413C5" w:rsidRDefault="006413C5" w:rsidP="00B93C25">
      <w:pPr>
        <w:tabs>
          <w:tab w:val="left" w:pos="2268"/>
        </w:tabs>
        <w:spacing w:after="0" w:line="360" w:lineRule="auto"/>
        <w:ind w:firstLine="709"/>
        <w:jc w:val="both"/>
        <w:rPr>
          <w:rFonts w:ascii="Times New Roman" w:eastAsia="Times New Roman" w:hAnsi="Times New Roman"/>
          <w:sz w:val="28"/>
          <w:szCs w:val="28"/>
          <w:bdr w:val="none" w:sz="0" w:space="0" w:color="auto" w:frame="1"/>
        </w:rPr>
      </w:pPr>
      <w:r>
        <w:rPr>
          <w:rFonts w:ascii="Times New Roman" w:hAnsi="Times New Roman"/>
          <w:sz w:val="28"/>
          <w:szCs w:val="28"/>
        </w:rPr>
        <w:t>КПК</w:t>
      </w:r>
      <w:r w:rsidRPr="000A50EB">
        <w:rPr>
          <w:rFonts w:ascii="Times New Roman" w:hAnsi="Times New Roman"/>
          <w:sz w:val="28"/>
          <w:szCs w:val="28"/>
        </w:rPr>
        <w:t xml:space="preserve"> 1873 р. допускав можливість заочного розгляду кримінальної справи, якщо присутність підсудного не була необхідною з огляду на тяжкість справи, і якщо йому загрожувало не більше п’яти років позбавлення волі (§427). За цих обставин суд мав право заочно винести обвинувальний вирок, копію </w:t>
      </w:r>
      <w:r w:rsidRPr="000A50EB">
        <w:rPr>
          <w:rFonts w:ascii="Times New Roman" w:hAnsi="Times New Roman"/>
          <w:sz w:val="28"/>
          <w:szCs w:val="28"/>
        </w:rPr>
        <w:lastRenderedPageBreak/>
        <w:t>якого вручали підсудному. Однак, якщо підсудний був відсутнім на судовому розгляді кримінальної справи з поважних причин, він мав можливість оскаржити такий вирок. Якщо крайовий суд підтверджував істотність причин відсутності підсудного, матеріали справи передавалися для повторного розгляду справи у Вищий крайовий суд</w:t>
      </w:r>
      <w:r>
        <w:rPr>
          <w:rFonts w:ascii="Times New Roman" w:hAnsi="Times New Roman"/>
          <w:sz w:val="28"/>
          <w:szCs w:val="28"/>
        </w:rPr>
        <w:t>.</w:t>
      </w:r>
    </w:p>
    <w:p w:rsidR="00F7687E" w:rsidRDefault="006413C5" w:rsidP="00B93C25">
      <w:pPr>
        <w:tabs>
          <w:tab w:val="left" w:pos="2268"/>
        </w:tabs>
        <w:spacing w:after="0" w:line="360" w:lineRule="auto"/>
        <w:ind w:firstLine="709"/>
        <w:jc w:val="both"/>
        <w:rPr>
          <w:rFonts w:ascii="Times New Roman" w:eastAsia="Times New Roman" w:hAnsi="Times New Roman"/>
          <w:sz w:val="28"/>
          <w:szCs w:val="28"/>
          <w:bdr w:val="none" w:sz="0" w:space="0" w:color="auto" w:frame="1"/>
        </w:rPr>
      </w:pPr>
      <w:r w:rsidRPr="000A50EB">
        <w:rPr>
          <w:rFonts w:ascii="Times New Roman" w:eastAsia="Times New Roman" w:hAnsi="Times New Roman"/>
          <w:i/>
          <w:sz w:val="28"/>
          <w:szCs w:val="28"/>
          <w:bdr w:val="none" w:sz="0" w:space="0" w:color="auto" w:frame="1"/>
        </w:rPr>
        <w:t>Сторони</w:t>
      </w:r>
      <w:r w:rsidRPr="000A50EB">
        <w:rPr>
          <w:rFonts w:ascii="Times New Roman" w:eastAsia="Times New Roman" w:hAnsi="Times New Roman"/>
          <w:sz w:val="28"/>
          <w:szCs w:val="28"/>
          <w:bdr w:val="none" w:sz="0" w:space="0" w:color="auto" w:frame="1"/>
        </w:rPr>
        <w:t xml:space="preserve"> у судовому процесі – це учасники спору, обвинувач і обвинувачений. У матеріальному розумінні, згідно </w:t>
      </w:r>
      <w:r w:rsidR="005A036E">
        <w:rPr>
          <w:rFonts w:ascii="Times New Roman" w:eastAsia="Times New Roman" w:hAnsi="Times New Roman"/>
          <w:sz w:val="28"/>
          <w:szCs w:val="28"/>
          <w:bdr w:val="none" w:sz="0" w:space="0" w:color="auto" w:frame="1"/>
        </w:rPr>
        <w:t xml:space="preserve">з </w:t>
      </w:r>
      <w:r w:rsidRPr="000A50EB">
        <w:rPr>
          <w:rFonts w:ascii="Times New Roman" w:eastAsia="Times New Roman" w:hAnsi="Times New Roman"/>
          <w:sz w:val="28"/>
          <w:szCs w:val="28"/>
          <w:bdr w:val="none" w:sz="0" w:space="0" w:color="auto" w:frame="1"/>
        </w:rPr>
        <w:t>норм</w:t>
      </w:r>
      <w:r w:rsidR="005A036E">
        <w:rPr>
          <w:rFonts w:ascii="Times New Roman" w:eastAsia="Times New Roman" w:hAnsi="Times New Roman"/>
          <w:sz w:val="28"/>
          <w:szCs w:val="28"/>
          <w:bdr w:val="none" w:sz="0" w:space="0" w:color="auto" w:frame="1"/>
        </w:rPr>
        <w:t>ами</w:t>
      </w:r>
      <w:r w:rsidRPr="000A50EB">
        <w:rPr>
          <w:rFonts w:ascii="Times New Roman" w:eastAsia="Times New Roman" w:hAnsi="Times New Roman"/>
          <w:sz w:val="28"/>
          <w:szCs w:val="28"/>
          <w:bdr w:val="none" w:sz="0" w:space="0" w:color="auto" w:frame="1"/>
        </w:rPr>
        <w:t xml:space="preserve"> австрійського законодавства, сторонами процесу виступали суб’єкти, правні відносини між якими становили предмет судового розгляду. Права сторін під час судового засідання вважалися рівними: для обвинувача – це право доводити обвинувачення, для обвинуваченого – здійснювати свій захист. У дечому права обвинуваченого були навіть ширші – як от право останнього голосу. Такий порядок містив певний психологічний мотив – дати можливість обвинуваченому завжди відповісти на закиди й справити останнє позитивне враження на суддів. Обвинувачений не був зобов’язаний зізнаватися у скоєному. Зізнання обвинуваченого у скоєнні злочину під час судового засідання могло становити доказ тільки тоді, якщо не було сумніву в його правдивості</w:t>
      </w:r>
      <w:r>
        <w:rPr>
          <w:rFonts w:ascii="Times New Roman" w:eastAsia="Times New Roman" w:hAnsi="Times New Roman"/>
          <w:sz w:val="28"/>
          <w:szCs w:val="28"/>
          <w:bdr w:val="none" w:sz="0" w:space="0" w:color="auto" w:frame="1"/>
        </w:rPr>
        <w:t>.</w:t>
      </w:r>
    </w:p>
    <w:p w:rsidR="006413C5" w:rsidRDefault="006413C5" w:rsidP="00B93C25">
      <w:pPr>
        <w:tabs>
          <w:tab w:val="left" w:pos="2268"/>
        </w:tabs>
        <w:spacing w:after="0" w:line="360" w:lineRule="auto"/>
        <w:ind w:firstLine="709"/>
        <w:jc w:val="both"/>
        <w:rPr>
          <w:rFonts w:ascii="Times New Roman" w:eastAsia="Times New Roman" w:hAnsi="Times New Roman"/>
          <w:sz w:val="28"/>
          <w:szCs w:val="28"/>
          <w:bdr w:val="none" w:sz="0" w:space="0" w:color="auto" w:frame="1"/>
        </w:rPr>
      </w:pPr>
      <w:r w:rsidRPr="000A50EB">
        <w:rPr>
          <w:rFonts w:ascii="Times New Roman" w:eastAsia="Times New Roman" w:hAnsi="Times New Roman"/>
          <w:sz w:val="28"/>
          <w:szCs w:val="28"/>
          <w:bdr w:val="none" w:sz="0" w:space="0" w:color="auto" w:frame="1"/>
        </w:rPr>
        <w:t xml:space="preserve">Австрійське законодавство признавало за обома сторонами процесу право доводити перед судом свої твердження та захищати свої права. Сторони процесу були наділені </w:t>
      </w:r>
      <w:bookmarkStart w:id="0" w:name="_GoBack"/>
      <w:r w:rsidR="005A036E" w:rsidRPr="005A036E">
        <w:rPr>
          <w:rFonts w:ascii="Times New Roman" w:eastAsia="Times New Roman" w:hAnsi="Times New Roman"/>
          <w:sz w:val="28"/>
          <w:szCs w:val="28"/>
          <w:bdr w:val="none" w:sz="0" w:space="0" w:color="auto" w:frame="1"/>
        </w:rPr>
        <w:t>невідчужуван</w:t>
      </w:r>
      <w:r w:rsidR="005A036E">
        <w:rPr>
          <w:rFonts w:ascii="Times New Roman" w:eastAsia="Times New Roman" w:hAnsi="Times New Roman"/>
          <w:sz w:val="28"/>
          <w:szCs w:val="28"/>
          <w:bdr w:val="none" w:sz="0" w:space="0" w:color="auto" w:frame="1"/>
        </w:rPr>
        <w:t>им</w:t>
      </w:r>
      <w:bookmarkEnd w:id="0"/>
      <w:r w:rsidRPr="000A50EB">
        <w:rPr>
          <w:rFonts w:ascii="Times New Roman" w:eastAsia="Times New Roman" w:hAnsi="Times New Roman"/>
          <w:sz w:val="28"/>
          <w:szCs w:val="28"/>
          <w:bdr w:val="none" w:sz="0" w:space="0" w:color="auto" w:frame="1"/>
        </w:rPr>
        <w:t>правом виступити під час засідання, щоби довести свою правоту. Порядок промов у кінцевих дебатах був наступний: спочатку виступала сторона обвинувачення, а вже потім – сторона захисту. Після промов допускалася коротка репліка, яка здебільшого мала уточнювальний характер</w:t>
      </w:r>
      <w:r>
        <w:rPr>
          <w:rFonts w:ascii="Times New Roman" w:eastAsia="Times New Roman" w:hAnsi="Times New Roman"/>
          <w:sz w:val="28"/>
          <w:szCs w:val="28"/>
          <w:bdr w:val="none" w:sz="0" w:space="0" w:color="auto" w:frame="1"/>
        </w:rPr>
        <w:t>.</w:t>
      </w:r>
    </w:p>
    <w:p w:rsidR="006413C5" w:rsidRDefault="006413C5" w:rsidP="00B93C25">
      <w:pPr>
        <w:tabs>
          <w:tab w:val="left" w:pos="2268"/>
        </w:tabs>
        <w:spacing w:after="0" w:line="360" w:lineRule="auto"/>
        <w:ind w:firstLine="709"/>
        <w:jc w:val="both"/>
        <w:rPr>
          <w:rFonts w:ascii="Times New Roman" w:eastAsia="Times New Roman" w:hAnsi="Times New Roman"/>
          <w:sz w:val="28"/>
          <w:szCs w:val="28"/>
          <w:bdr w:val="none" w:sz="0" w:space="0" w:color="auto" w:frame="1"/>
        </w:rPr>
      </w:pPr>
      <w:r w:rsidRPr="000A50EB">
        <w:rPr>
          <w:rFonts w:ascii="Times New Roman" w:eastAsia="Times New Roman" w:hAnsi="Times New Roman"/>
          <w:sz w:val="28"/>
          <w:szCs w:val="28"/>
          <w:bdr w:val="none" w:sz="0" w:space="0" w:color="auto" w:frame="1"/>
        </w:rPr>
        <w:t xml:space="preserve">В Австро-Угорській монархії з 1873 р. функціонував </w:t>
      </w:r>
      <w:r w:rsidRPr="000A50EB">
        <w:rPr>
          <w:rFonts w:ascii="Times New Roman" w:eastAsia="Times New Roman" w:hAnsi="Times New Roman"/>
          <w:i/>
          <w:sz w:val="28"/>
          <w:szCs w:val="28"/>
          <w:bdr w:val="none" w:sz="0" w:space="0" w:color="auto" w:frame="1"/>
        </w:rPr>
        <w:t>інститут судів присяжних</w:t>
      </w:r>
      <w:r w:rsidRPr="000A50EB">
        <w:rPr>
          <w:rFonts w:ascii="Times New Roman" w:eastAsia="Times New Roman" w:hAnsi="Times New Roman"/>
          <w:sz w:val="28"/>
          <w:szCs w:val="28"/>
          <w:bdr w:val="none" w:sz="0" w:space="0" w:color="auto" w:frame="1"/>
        </w:rPr>
        <w:t xml:space="preserve">. Суддями присяжних, як правило, були не фахові судді, обрані з-поміж громади. Завдяки впровадженню суду присяжних відбулася спроба привнести у судовий процес громадські погляди, етичний світогляд і тим самим вирівняти винятково юридичний підхід фахового судді. Присяжним, згідно з </w:t>
      </w:r>
      <w:r w:rsidRPr="000A50EB">
        <w:rPr>
          <w:rFonts w:ascii="Times New Roman" w:eastAsia="Times New Roman" w:hAnsi="Times New Roman"/>
          <w:sz w:val="28"/>
          <w:szCs w:val="28"/>
          <w:bdr w:val="none" w:sz="0" w:space="0" w:color="auto" w:frame="1"/>
        </w:rPr>
        <w:lastRenderedPageBreak/>
        <w:t>австрійським законодавством, міг бути громадянин Австро-Угорщини не молодше 30-річного віку з усією повнотою громадянських прав, не судимий, котрий вмів читати й писати, платив податки (в межах 10–20 зол.).</w:t>
      </w:r>
    </w:p>
    <w:p w:rsidR="00F7687E" w:rsidRDefault="00DE7FE8" w:rsidP="00B93C25">
      <w:pPr>
        <w:tabs>
          <w:tab w:val="left" w:pos="2268"/>
        </w:tabs>
        <w:spacing w:after="0" w:line="360" w:lineRule="auto"/>
        <w:ind w:firstLine="709"/>
        <w:jc w:val="both"/>
        <w:rPr>
          <w:rFonts w:ascii="Times New Roman" w:eastAsia="Times New Roman" w:hAnsi="Times New Roman"/>
          <w:sz w:val="28"/>
          <w:szCs w:val="28"/>
          <w:bdr w:val="none" w:sz="0" w:space="0" w:color="auto" w:frame="1"/>
        </w:rPr>
      </w:pPr>
      <w:r w:rsidRPr="000A50EB">
        <w:rPr>
          <w:rFonts w:ascii="Times New Roman" w:eastAsia="Times New Roman" w:hAnsi="Times New Roman"/>
          <w:sz w:val="28"/>
          <w:szCs w:val="28"/>
          <w:bdr w:val="none" w:sz="0" w:space="0" w:color="auto" w:frame="1"/>
        </w:rPr>
        <w:t xml:space="preserve">Суд здійснював свої функції на основі рішень. Австрійське процесуальне право передбачало такі види судових рішень, як </w:t>
      </w:r>
      <w:r w:rsidRPr="000A50EB">
        <w:rPr>
          <w:rFonts w:ascii="Times New Roman" w:eastAsia="Times New Roman" w:hAnsi="Times New Roman"/>
          <w:i/>
          <w:sz w:val="28"/>
          <w:szCs w:val="28"/>
          <w:bdr w:val="none" w:sz="0" w:space="0" w:color="auto" w:frame="1"/>
        </w:rPr>
        <w:t>ухвали, постанови й вироки.</w:t>
      </w:r>
      <w:r w:rsidRPr="000A50EB">
        <w:rPr>
          <w:rFonts w:ascii="Times New Roman" w:eastAsia="Times New Roman" w:hAnsi="Times New Roman"/>
          <w:sz w:val="28"/>
          <w:szCs w:val="28"/>
          <w:bdr w:val="none" w:sz="0" w:space="0" w:color="auto" w:frame="1"/>
        </w:rPr>
        <w:t xml:space="preserve"> Ухвали й постанови </w:t>
      </w:r>
      <w:r>
        <w:rPr>
          <w:rFonts w:ascii="Times New Roman" w:eastAsia="Times New Roman" w:hAnsi="Times New Roman"/>
          <w:sz w:val="28"/>
          <w:szCs w:val="28"/>
          <w:bdr w:val="none" w:sz="0" w:space="0" w:color="auto" w:frame="1"/>
        </w:rPr>
        <w:t>виносив</w:t>
      </w:r>
      <w:r w:rsidRPr="000A50EB">
        <w:rPr>
          <w:rFonts w:ascii="Times New Roman" w:eastAsia="Times New Roman" w:hAnsi="Times New Roman"/>
          <w:sz w:val="28"/>
          <w:szCs w:val="28"/>
          <w:bdr w:val="none" w:sz="0" w:space="0" w:color="auto" w:frame="1"/>
        </w:rPr>
        <w:t xml:space="preserve"> суд під час самого судочинства; з ними повинні були ознайомитися сторони процесу. На відміну від вироку, суд мав право змінити ухвалу чи постанову.</w:t>
      </w:r>
    </w:p>
    <w:p w:rsidR="00DE7FE8" w:rsidRDefault="00DE7FE8" w:rsidP="00B93C25">
      <w:pPr>
        <w:tabs>
          <w:tab w:val="left" w:pos="2268"/>
        </w:tabs>
        <w:spacing w:after="0" w:line="360" w:lineRule="auto"/>
        <w:ind w:firstLine="709"/>
        <w:jc w:val="both"/>
        <w:rPr>
          <w:rFonts w:ascii="Times New Roman" w:eastAsia="Times New Roman" w:hAnsi="Times New Roman"/>
          <w:sz w:val="28"/>
          <w:szCs w:val="28"/>
          <w:bdr w:val="none" w:sz="0" w:space="0" w:color="auto" w:frame="1"/>
        </w:rPr>
      </w:pPr>
      <w:r w:rsidRPr="000A50EB">
        <w:rPr>
          <w:rFonts w:ascii="Times New Roman" w:eastAsia="Times New Roman" w:hAnsi="Times New Roman"/>
          <w:sz w:val="28"/>
          <w:szCs w:val="28"/>
          <w:bdr w:val="none" w:sz="0" w:space="0" w:color="auto" w:frame="1"/>
        </w:rPr>
        <w:t>З усіх судових рішень вирок вважався найважливішим, як з формальної, так і з матеріальної точки зору. Матеріальна мета полягала у рішенні: винний обвинувачений, чи ні (якщо ж винний, то в якому вчинку). Варто відзначити, якщо під час судового засідання виявилося, що обвинувачений винний у скоєнні іншого злочину, не згаданого в акті обвинувачення, але щодо якого назбиралося достатньо доказів, суд мав право врахувати це у вироку (якщо не вимагалося окремого подання прокурора). Коли ж обвинуваченому і так загрожувала кара смерті, виявлення нових, дрібніших злочинів не впливало на остаточний судовий вирок. Важливо зазначити, що на кару смерті не дозволялося карати особу вже покарану за той самий злочин тюремним ув’язненням. Покарання, яке передбачало позбавлення волі, але не було реалізованим, не стояло на заваді реалізації кари смерті</w:t>
      </w:r>
      <w:r>
        <w:rPr>
          <w:rFonts w:ascii="Times New Roman" w:eastAsia="Times New Roman" w:hAnsi="Times New Roman"/>
          <w:sz w:val="28"/>
          <w:szCs w:val="28"/>
          <w:bdr w:val="none" w:sz="0" w:space="0" w:color="auto" w:frame="1"/>
        </w:rPr>
        <w:t>.</w:t>
      </w:r>
    </w:p>
    <w:p w:rsidR="00DE7FE8" w:rsidRDefault="00DE7FE8" w:rsidP="00B93C25">
      <w:pPr>
        <w:spacing w:after="0" w:line="360" w:lineRule="auto"/>
        <w:ind w:firstLine="567"/>
        <w:jc w:val="both"/>
        <w:rPr>
          <w:rFonts w:ascii="Times New Roman" w:eastAsia="Times New Roman" w:hAnsi="Times New Roman"/>
          <w:sz w:val="28"/>
          <w:szCs w:val="28"/>
          <w:bdr w:val="none" w:sz="0" w:space="0" w:color="auto" w:frame="1"/>
        </w:rPr>
      </w:pPr>
      <w:r w:rsidRPr="000A50EB">
        <w:rPr>
          <w:rFonts w:ascii="Times New Roman" w:eastAsia="Times New Roman" w:hAnsi="Times New Roman"/>
          <w:sz w:val="28"/>
          <w:szCs w:val="28"/>
          <w:bdr w:val="none" w:sz="0" w:space="0" w:color="auto" w:frame="1"/>
        </w:rPr>
        <w:t xml:space="preserve">При винесенні вироку, як велів §43 Кримінального кодексу Австрії, суди в Галичині враховували обтяжуючі й полегшуючі обставини скоєння злочину. Так, до обтяжуючих обставин належали: 1) сукупність скоєних злочинів; 2) повторюваність однорідних злочинів; 3) повторне вчинення злочину; 4) залучення до злочину інших осіб; 5) характер дії (підсудний – організатор злочину чи лише виконавець). Пом’якшуючі обставини стосувалися як самого злочину, так і особи злочинця. Наприклад, до пом’якшуючих вину обставин законодавство зараховувало замах, незакінчений замах і добровільну відмову від спричинення ще більшої шкоди. До пом’якшуючих обставин, як стосувалися злочинця належали: вік злочинця (якщо не досяг 20-річного віку, </w:t>
      </w:r>
      <w:r w:rsidRPr="000A50EB">
        <w:rPr>
          <w:rFonts w:ascii="Times New Roman" w:eastAsia="Times New Roman" w:hAnsi="Times New Roman"/>
          <w:sz w:val="28"/>
          <w:szCs w:val="28"/>
          <w:bdr w:val="none" w:sz="0" w:space="0" w:color="auto" w:frame="1"/>
        </w:rPr>
        <w:lastRenderedPageBreak/>
        <w:t>то могли дати менше покарання), недостатній розумово-психічний розвиток, вчинення протиправної дії в стані тимчасового божевілля (особа не розуміла, що чинила), дія з намови або під примусом, вчинення злочину випадково, з недбальства або з не усвідомлення наслідків вчинку, намагання відшкодувати спричинену шкоду, явка з повинною, готовність співпрацювати зі слідством і повідомлення про інших учасників злочинів (§47).</w:t>
      </w:r>
    </w:p>
    <w:p w:rsidR="0079443C" w:rsidRPr="000A50EB" w:rsidRDefault="00DE7FE8" w:rsidP="00B93C25">
      <w:pPr>
        <w:shd w:val="clear" w:color="auto" w:fill="FFFFFF"/>
        <w:spacing w:after="0" w:line="360" w:lineRule="auto"/>
        <w:ind w:firstLine="709"/>
        <w:jc w:val="both"/>
        <w:rPr>
          <w:rFonts w:ascii="Times New Roman" w:eastAsia="Times New Roman" w:hAnsi="Times New Roman"/>
          <w:sz w:val="28"/>
          <w:szCs w:val="28"/>
          <w:lang w:eastAsia="uk-UA"/>
        </w:rPr>
      </w:pPr>
      <w:r w:rsidRPr="00DE7FE8">
        <w:rPr>
          <w:rFonts w:ascii="Times New Roman" w:eastAsia="Times New Roman" w:hAnsi="Times New Roman"/>
          <w:i/>
          <w:sz w:val="28"/>
          <w:szCs w:val="28"/>
          <w:bdr w:val="none" w:sz="0" w:space="0" w:color="auto" w:frame="1"/>
        </w:rPr>
        <w:t>Висновок</w:t>
      </w:r>
      <w:r>
        <w:rPr>
          <w:rFonts w:ascii="Times New Roman" w:eastAsia="Times New Roman" w:hAnsi="Times New Roman"/>
          <w:sz w:val="28"/>
          <w:szCs w:val="28"/>
          <w:bdr w:val="none" w:sz="0" w:space="0" w:color="auto" w:frame="1"/>
        </w:rPr>
        <w:t xml:space="preserve">. </w:t>
      </w:r>
      <w:r w:rsidR="0079443C" w:rsidRPr="000A50EB">
        <w:rPr>
          <w:rFonts w:ascii="Times New Roman" w:eastAsia="Times New Roman" w:hAnsi="Times New Roman"/>
          <w:sz w:val="28"/>
          <w:szCs w:val="28"/>
          <w:lang w:eastAsia="uk-UA"/>
        </w:rPr>
        <w:t>На сучасному етапі постає нагальна потреба у нових історико-правових дослідженнях, в яких на основі всебічного аналізу та неупередженого ставлення необхідно вивчити і узагальнити досвід функціонування кримінально-процесуального судочинства на українських землях, зокрема під владою Австро-Угорщини.</w:t>
      </w:r>
    </w:p>
    <w:p w:rsidR="0079443C" w:rsidRPr="000A50EB" w:rsidRDefault="0079443C" w:rsidP="00B93C25">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0A50EB">
        <w:rPr>
          <w:rFonts w:ascii="Times New Roman" w:hAnsi="Times New Roman"/>
          <w:sz w:val="28"/>
          <w:szCs w:val="28"/>
        </w:rPr>
        <w:t xml:space="preserve">ослідження стадії розгляду кримінальних справ у судових органах Галичини неможливі без об'єктивного наукового вивчення історичного правового як національного, так і міжнародного досвіду. Його використання дасть змогу створити оптимальну модель демократичного судоустрою, зробити судочинство ефективним, справедливим, щоб у різних юридичних конфліктах забезпечити панування </w:t>
      </w:r>
      <w:r w:rsidRPr="0079443C">
        <w:rPr>
          <w:rFonts w:ascii="Times New Roman" w:hAnsi="Times New Roman"/>
          <w:sz w:val="28"/>
          <w:szCs w:val="28"/>
        </w:rPr>
        <w:t>верховенства</w:t>
      </w:r>
      <w:r w:rsidRPr="000A50EB">
        <w:rPr>
          <w:rFonts w:ascii="Times New Roman" w:hAnsi="Times New Roman"/>
          <w:sz w:val="28"/>
          <w:szCs w:val="28"/>
        </w:rPr>
        <w:t xml:space="preserve"> права.</w:t>
      </w:r>
    </w:p>
    <w:p w:rsidR="00DE7FE8" w:rsidRPr="000A50EB" w:rsidRDefault="00DE7FE8" w:rsidP="00B93C25">
      <w:pPr>
        <w:spacing w:after="0" w:line="360" w:lineRule="auto"/>
        <w:ind w:firstLine="567"/>
        <w:jc w:val="both"/>
        <w:rPr>
          <w:rFonts w:ascii="Times New Roman" w:eastAsia="Times New Roman" w:hAnsi="Times New Roman"/>
          <w:sz w:val="28"/>
          <w:szCs w:val="28"/>
          <w:bdr w:val="none" w:sz="0" w:space="0" w:color="auto" w:frame="1"/>
        </w:rPr>
      </w:pPr>
    </w:p>
    <w:p w:rsidR="00DE7FE8" w:rsidRDefault="00DE7FE8" w:rsidP="00B93C25">
      <w:pPr>
        <w:tabs>
          <w:tab w:val="left" w:pos="2268"/>
        </w:tabs>
        <w:spacing w:after="0" w:line="360" w:lineRule="auto"/>
        <w:ind w:firstLine="709"/>
        <w:jc w:val="both"/>
        <w:rPr>
          <w:rFonts w:ascii="Times New Roman" w:eastAsia="Times New Roman" w:hAnsi="Times New Roman"/>
          <w:sz w:val="28"/>
          <w:szCs w:val="28"/>
          <w:bdr w:val="none" w:sz="0" w:space="0" w:color="auto" w:frame="1"/>
        </w:rPr>
      </w:pPr>
    </w:p>
    <w:p w:rsidR="00F7687E" w:rsidRDefault="00F7687E" w:rsidP="00B93C25">
      <w:pPr>
        <w:tabs>
          <w:tab w:val="left" w:pos="2268"/>
        </w:tabs>
        <w:spacing w:after="0" w:line="360" w:lineRule="auto"/>
        <w:ind w:firstLine="709"/>
        <w:jc w:val="both"/>
        <w:rPr>
          <w:rFonts w:ascii="Times New Roman" w:eastAsia="Times New Roman" w:hAnsi="Times New Roman"/>
          <w:sz w:val="28"/>
          <w:szCs w:val="28"/>
          <w:bdr w:val="none" w:sz="0" w:space="0" w:color="auto" w:frame="1"/>
        </w:rPr>
      </w:pPr>
    </w:p>
    <w:p w:rsidR="00E409B4" w:rsidRPr="00E409B4" w:rsidRDefault="00E409B4" w:rsidP="00B93C25">
      <w:pPr>
        <w:spacing w:after="0" w:line="360" w:lineRule="auto"/>
        <w:ind w:firstLine="709"/>
        <w:jc w:val="both"/>
        <w:rPr>
          <w:rFonts w:ascii="Times New Roman" w:hAnsi="Times New Roman"/>
          <w:sz w:val="28"/>
          <w:szCs w:val="28"/>
        </w:rPr>
      </w:pPr>
    </w:p>
    <w:p w:rsidR="00E409B4" w:rsidRDefault="00E409B4" w:rsidP="00B93C25">
      <w:pPr>
        <w:spacing w:after="0" w:line="360" w:lineRule="auto"/>
        <w:ind w:firstLine="709"/>
        <w:jc w:val="both"/>
        <w:rPr>
          <w:rFonts w:ascii="Times New Roman" w:hAnsi="Times New Roman"/>
          <w:sz w:val="28"/>
          <w:szCs w:val="28"/>
        </w:rPr>
      </w:pPr>
    </w:p>
    <w:p w:rsidR="00204EEF" w:rsidRDefault="00204EEF" w:rsidP="00B93C25">
      <w:pPr>
        <w:spacing w:after="0" w:line="360" w:lineRule="auto"/>
        <w:ind w:firstLine="709"/>
        <w:jc w:val="both"/>
        <w:rPr>
          <w:rFonts w:ascii="Times New Roman" w:hAnsi="Times New Roman"/>
          <w:sz w:val="28"/>
          <w:szCs w:val="28"/>
        </w:rPr>
      </w:pPr>
    </w:p>
    <w:p w:rsidR="00374BF2" w:rsidRPr="00140460" w:rsidRDefault="00374BF2" w:rsidP="00B93C25">
      <w:pPr>
        <w:spacing w:after="0" w:line="360" w:lineRule="auto"/>
        <w:ind w:firstLine="709"/>
        <w:jc w:val="both"/>
      </w:pPr>
    </w:p>
    <w:sectPr w:rsidR="00374BF2" w:rsidRPr="00140460" w:rsidSect="00384A81">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AF6" w:rsidRDefault="00A96AF6" w:rsidP="00140460">
      <w:pPr>
        <w:spacing w:after="0" w:line="240" w:lineRule="auto"/>
      </w:pPr>
      <w:r>
        <w:separator/>
      </w:r>
    </w:p>
  </w:endnote>
  <w:endnote w:type="continuationSeparator" w:id="1">
    <w:p w:rsidR="00A96AF6" w:rsidRDefault="00A96AF6" w:rsidP="00140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39402"/>
      <w:docPartObj>
        <w:docPartGallery w:val="Page Numbers (Bottom of Page)"/>
        <w:docPartUnique/>
      </w:docPartObj>
    </w:sdtPr>
    <w:sdtContent>
      <w:p w:rsidR="00140460" w:rsidRDefault="00384A81">
        <w:pPr>
          <w:pStyle w:val="a9"/>
          <w:jc w:val="right"/>
        </w:pPr>
        <w:r>
          <w:fldChar w:fldCharType="begin"/>
        </w:r>
        <w:r w:rsidR="00140460">
          <w:instrText>PAGE   \* MERGEFORMAT</w:instrText>
        </w:r>
        <w:r>
          <w:fldChar w:fldCharType="separate"/>
        </w:r>
        <w:r w:rsidR="005E0409">
          <w:rPr>
            <w:noProof/>
          </w:rPr>
          <w:t>12</w:t>
        </w:r>
        <w:r>
          <w:fldChar w:fldCharType="end"/>
        </w:r>
      </w:p>
    </w:sdtContent>
  </w:sdt>
  <w:p w:rsidR="00140460" w:rsidRDefault="0014046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AF6" w:rsidRDefault="00A96AF6" w:rsidP="00140460">
      <w:pPr>
        <w:spacing w:after="0" w:line="240" w:lineRule="auto"/>
      </w:pPr>
      <w:r>
        <w:separator/>
      </w:r>
    </w:p>
  </w:footnote>
  <w:footnote w:type="continuationSeparator" w:id="1">
    <w:p w:rsidR="00A96AF6" w:rsidRDefault="00A96AF6" w:rsidP="001404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E217E"/>
    <w:rsid w:val="00140460"/>
    <w:rsid w:val="001A4115"/>
    <w:rsid w:val="00204EEF"/>
    <w:rsid w:val="00374BF2"/>
    <w:rsid w:val="00384A81"/>
    <w:rsid w:val="005A036E"/>
    <w:rsid w:val="005E0409"/>
    <w:rsid w:val="006413C5"/>
    <w:rsid w:val="0070653C"/>
    <w:rsid w:val="0076238B"/>
    <w:rsid w:val="0079443C"/>
    <w:rsid w:val="007F52AF"/>
    <w:rsid w:val="008A7BA3"/>
    <w:rsid w:val="008D7C1F"/>
    <w:rsid w:val="00940F19"/>
    <w:rsid w:val="009D7ED5"/>
    <w:rsid w:val="00A96AF6"/>
    <w:rsid w:val="00AE217E"/>
    <w:rsid w:val="00B93C25"/>
    <w:rsid w:val="00BC4084"/>
    <w:rsid w:val="00CC4146"/>
    <w:rsid w:val="00DC58DC"/>
    <w:rsid w:val="00DE7FE8"/>
    <w:rsid w:val="00E409B4"/>
    <w:rsid w:val="00F31465"/>
    <w:rsid w:val="00F4067A"/>
    <w:rsid w:val="00F768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1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basedOn w:val="a0"/>
    <w:rsid w:val="00CC4146"/>
  </w:style>
  <w:style w:type="paragraph" w:styleId="a4">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1"/>
    <w:basedOn w:val="a"/>
    <w:link w:val="a5"/>
    <w:unhideWhenUsed/>
    <w:rsid w:val="00140460"/>
    <w:pPr>
      <w:spacing w:after="0" w:line="240" w:lineRule="auto"/>
    </w:pPr>
    <w:rPr>
      <w:sz w:val="20"/>
      <w:szCs w:val="20"/>
    </w:rPr>
  </w:style>
  <w:style w:type="character" w:customStyle="1" w:styleId="a5">
    <w:name w:val="Текст ви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0"/>
    <w:link w:val="a4"/>
    <w:rsid w:val="00140460"/>
    <w:rPr>
      <w:sz w:val="20"/>
      <w:szCs w:val="20"/>
    </w:rPr>
  </w:style>
  <w:style w:type="character" w:styleId="a6">
    <w:name w:val="footnote reference"/>
    <w:aliases w:val="FZ,(Voetnootmarkering),BVI fnr,SUPERS,Footnote Reference Superscript,Footnote symbol,(Footnote Reference),Footnote,Voetnootverwijzing,Times 10 Point,Exposant 3 Point,Footnote reference number,note TESI,Odwolanie przypisu,callo"/>
    <w:basedOn w:val="a0"/>
    <w:uiPriority w:val="99"/>
    <w:unhideWhenUsed/>
    <w:rsid w:val="00140460"/>
    <w:rPr>
      <w:vertAlign w:val="superscript"/>
    </w:rPr>
  </w:style>
  <w:style w:type="paragraph" w:styleId="a7">
    <w:name w:val="header"/>
    <w:basedOn w:val="a"/>
    <w:link w:val="a8"/>
    <w:uiPriority w:val="99"/>
    <w:unhideWhenUsed/>
    <w:rsid w:val="0014046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40460"/>
  </w:style>
  <w:style w:type="paragraph" w:styleId="a9">
    <w:name w:val="footer"/>
    <w:basedOn w:val="a"/>
    <w:link w:val="aa"/>
    <w:uiPriority w:val="99"/>
    <w:unhideWhenUsed/>
    <w:rsid w:val="0014046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40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41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basedOn w:val="a0"/>
    <w:rsid w:val="00CC4146"/>
  </w:style>
  <w:style w:type="paragraph" w:styleId="a4">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1"/>
    <w:basedOn w:val="a"/>
    <w:link w:val="a5"/>
    <w:unhideWhenUsed/>
    <w:rsid w:val="00140460"/>
    <w:pPr>
      <w:spacing w:after="0" w:line="240" w:lineRule="auto"/>
    </w:pPr>
    <w:rPr>
      <w:sz w:val="20"/>
      <w:szCs w:val="20"/>
    </w:rPr>
  </w:style>
  <w:style w:type="character" w:customStyle="1" w:styleId="a5">
    <w:name w:val="Текст ви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0"/>
    <w:link w:val="a4"/>
    <w:rsid w:val="00140460"/>
    <w:rPr>
      <w:sz w:val="20"/>
      <w:szCs w:val="20"/>
    </w:rPr>
  </w:style>
  <w:style w:type="character" w:styleId="a6">
    <w:name w:val="footnote reference"/>
    <w:aliases w:val="FZ,(Voetnootmarkering),BVI fnr,SUPERS,Footnote Reference Superscript,Footnote symbol,(Footnote Reference),Footnote,Voetnootverwijzing,Times 10 Point,Exposant 3 Point,Footnote reference number,note TESI,Odwolanie przypisu,callo"/>
    <w:basedOn w:val="a0"/>
    <w:uiPriority w:val="99"/>
    <w:unhideWhenUsed/>
    <w:rsid w:val="00140460"/>
    <w:rPr>
      <w:vertAlign w:val="superscript"/>
    </w:rPr>
  </w:style>
  <w:style w:type="paragraph" w:styleId="a7">
    <w:name w:val="header"/>
    <w:basedOn w:val="a"/>
    <w:link w:val="a8"/>
    <w:uiPriority w:val="99"/>
    <w:unhideWhenUsed/>
    <w:rsid w:val="0014046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40460"/>
  </w:style>
  <w:style w:type="paragraph" w:styleId="a9">
    <w:name w:val="footer"/>
    <w:basedOn w:val="a"/>
    <w:link w:val="aa"/>
    <w:uiPriority w:val="99"/>
    <w:unhideWhenUsed/>
    <w:rsid w:val="0014046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40460"/>
  </w:style>
</w:styles>
</file>

<file path=word/webSettings.xml><?xml version="1.0" encoding="utf-8"?>
<w:webSettings xmlns:r="http://schemas.openxmlformats.org/officeDocument/2006/relationships" xmlns:w="http://schemas.openxmlformats.org/wordprocessingml/2006/main">
  <w:divs>
    <w:div w:id="61682337">
      <w:bodyDiv w:val="1"/>
      <w:marLeft w:val="0"/>
      <w:marRight w:val="0"/>
      <w:marTop w:val="0"/>
      <w:marBottom w:val="0"/>
      <w:divBdr>
        <w:top w:val="none" w:sz="0" w:space="0" w:color="auto"/>
        <w:left w:val="none" w:sz="0" w:space="0" w:color="auto"/>
        <w:bottom w:val="none" w:sz="0" w:space="0" w:color="auto"/>
        <w:right w:val="none" w:sz="0" w:space="0" w:color="auto"/>
      </w:divBdr>
    </w:div>
    <w:div w:id="68694211">
      <w:bodyDiv w:val="1"/>
      <w:marLeft w:val="0"/>
      <w:marRight w:val="0"/>
      <w:marTop w:val="0"/>
      <w:marBottom w:val="0"/>
      <w:divBdr>
        <w:top w:val="none" w:sz="0" w:space="0" w:color="auto"/>
        <w:left w:val="none" w:sz="0" w:space="0" w:color="auto"/>
        <w:bottom w:val="none" w:sz="0" w:space="0" w:color="auto"/>
        <w:right w:val="none" w:sz="0" w:space="0" w:color="auto"/>
      </w:divBdr>
      <w:divsChild>
        <w:div w:id="439034482">
          <w:marLeft w:val="0"/>
          <w:marRight w:val="0"/>
          <w:marTop w:val="0"/>
          <w:marBottom w:val="0"/>
          <w:divBdr>
            <w:top w:val="none" w:sz="0" w:space="0" w:color="auto"/>
            <w:left w:val="none" w:sz="0" w:space="0" w:color="auto"/>
            <w:bottom w:val="none" w:sz="0" w:space="0" w:color="auto"/>
            <w:right w:val="none" w:sz="0" w:space="0" w:color="auto"/>
          </w:divBdr>
          <w:divsChild>
            <w:div w:id="8601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71B9-21E2-4E33-91F8-649E0893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14959</Words>
  <Characters>8527</Characters>
  <Application>Microsoft Office Word</Application>
  <DocSecurity>0</DocSecurity>
  <Lines>71</Lines>
  <Paragraphs>46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Stetsyk</cp:lastModifiedBy>
  <cp:revision>3</cp:revision>
  <dcterms:created xsi:type="dcterms:W3CDTF">2019-11-18T08:00:00Z</dcterms:created>
  <dcterms:modified xsi:type="dcterms:W3CDTF">2019-11-18T08:00:00Z</dcterms:modified>
</cp:coreProperties>
</file>