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C" w:rsidRPr="00461714" w:rsidRDefault="008122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714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461714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461714">
        <w:rPr>
          <w:rFonts w:ascii="Times New Roman" w:hAnsi="Times New Roman" w:cs="Times New Roman"/>
          <w:b/>
          <w:sz w:val="28"/>
          <w:szCs w:val="28"/>
        </w:rPr>
        <w:t>адміністративної</w:t>
      </w:r>
      <w:proofErr w:type="spellEnd"/>
      <w:r w:rsidRPr="00461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4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461714">
        <w:rPr>
          <w:rFonts w:ascii="Times New Roman" w:hAnsi="Times New Roman" w:cs="Times New Roman"/>
          <w:b/>
          <w:sz w:val="28"/>
          <w:szCs w:val="28"/>
        </w:rPr>
        <w:t xml:space="preserve"> (4 год.)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ізновиду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</w:t>
      </w:r>
      <w:r>
        <w:rPr>
          <w:rFonts w:ascii="Times New Roman" w:hAnsi="Times New Roman" w:cs="Times New Roman"/>
          <w:sz w:val="28"/>
          <w:szCs w:val="28"/>
        </w:rPr>
        <w:t>ністративну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Відмежування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4. Склад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5. Характеристика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об'єктивна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факультативні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суб‘єкти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особа як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суб‘єкт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суб’єктивна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пом'якшуючих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обтяжуючих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Pr="0081227C" w:rsidRDefault="008122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812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122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227C" w:rsidRPr="0081227C" w:rsidRDefault="0081227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81227C">
        <w:rPr>
          <w:rFonts w:ascii="Times New Roman" w:hAnsi="Times New Roman" w:cs="Times New Roman"/>
          <w:i/>
          <w:sz w:val="28"/>
          <w:szCs w:val="28"/>
        </w:rPr>
        <w:t xml:space="preserve"> 1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кодифіковані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proofErr w:type="gramStart"/>
      <w:r w:rsidRPr="008122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lastRenderedPageBreak/>
        <w:t xml:space="preserve">3.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27C" w:rsidRPr="0081227C" w:rsidRDefault="0081227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81227C">
        <w:rPr>
          <w:rFonts w:ascii="Times New Roman" w:hAnsi="Times New Roman" w:cs="Times New Roman"/>
          <w:i/>
          <w:sz w:val="28"/>
          <w:szCs w:val="28"/>
        </w:rPr>
        <w:t xml:space="preserve"> 2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5. Як заходи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proofErr w:type="gramStart"/>
      <w:r w:rsidRPr="008122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27C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7A0D" w:rsidRDefault="0081227C">
      <w:pPr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іноземці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>?</w:t>
      </w:r>
    </w:p>
    <w:p w:rsidR="0081227C" w:rsidRPr="0081227C" w:rsidRDefault="0081227C" w:rsidP="00812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122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1227C">
        <w:rPr>
          <w:rFonts w:ascii="Times New Roman" w:hAnsi="Times New Roman" w:cs="Times New Roman"/>
          <w:b/>
          <w:sz w:val="28"/>
          <w:szCs w:val="28"/>
        </w:rPr>
        <w:t>: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227C">
        <w:rPr>
          <w:rFonts w:ascii="Times New Roman" w:hAnsi="Times New Roman" w:cs="Times New Roman"/>
          <w:sz w:val="28"/>
          <w:szCs w:val="28"/>
        </w:rPr>
        <w:t xml:space="preserve">Головний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полковник 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Петренко М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Сергієм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виповнилось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службовій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Сорокою А.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2018 р.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виїхав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фазана.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Петренки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пополювали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а Сорока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влучив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розпалили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лісничий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Тут же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виніс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Петренка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Сороку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конфіскацією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мисливської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Петренко М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оскаржив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мотивуючи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військовослужбовцем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дисциплінарним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статутом. Дайте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2) характер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протиправного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правомірність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існичого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27C">
        <w:rPr>
          <w:rFonts w:ascii="Times New Roman" w:hAnsi="Times New Roman" w:cs="Times New Roman"/>
          <w:sz w:val="28"/>
          <w:szCs w:val="28"/>
        </w:rPr>
        <w:t xml:space="preserve">. Гр.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Сидоркін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авто разом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Петровим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повертались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ікніка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зустрічного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ітловий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посту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зупиняють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Сидоркін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перебув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передав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lastRenderedPageBreak/>
        <w:t>свого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Петрову, так як Петров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меншій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водійських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прав. На посту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патрульні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затримали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Сидоркіна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Петрова, де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Сидоркін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вказав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патрульні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вилучили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неправомірно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автобуса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“В”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“С”, а без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допустять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Сидоркін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“В”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“С”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На Петрова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штраф. Дайте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2) характер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протиправного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7C" w:rsidRDefault="0081227C" w:rsidP="0081227C">
      <w:pPr>
        <w:jc w:val="both"/>
        <w:rPr>
          <w:rFonts w:ascii="Times New Roman" w:hAnsi="Times New Roman" w:cs="Times New Roman"/>
          <w:sz w:val="28"/>
          <w:szCs w:val="28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правомірність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патрульних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7C" w:rsidRPr="0081227C" w:rsidRDefault="0081227C" w:rsidP="0081227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227C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81227C">
        <w:rPr>
          <w:rFonts w:ascii="Times New Roman" w:hAnsi="Times New Roman" w:cs="Times New Roman"/>
          <w:i/>
          <w:sz w:val="28"/>
          <w:szCs w:val="28"/>
        </w:rPr>
        <w:t xml:space="preserve"> 2 </w:t>
      </w:r>
    </w:p>
    <w:p w:rsidR="0081227C" w:rsidRPr="0081227C" w:rsidRDefault="0081227C" w:rsidP="00812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122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поданого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неповну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оплатне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знаряддям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сувора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майна;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наданого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громадянинові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(права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права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до одного року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рангу;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рангу, чину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>.</w:t>
      </w:r>
    </w:p>
    <w:p w:rsidR="0081227C" w:rsidRPr="0081227C" w:rsidRDefault="0081227C" w:rsidP="0081227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Законодавство</w:t>
      </w:r>
      <w:proofErr w:type="spellEnd"/>
      <w:r w:rsidRPr="008122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812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227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1227C">
        <w:rPr>
          <w:rFonts w:ascii="Times New Roman" w:hAnsi="Times New Roman" w:cs="Times New Roman"/>
          <w:b/>
          <w:sz w:val="28"/>
          <w:szCs w:val="28"/>
        </w:rPr>
        <w:t xml:space="preserve"> теми: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1. Кодекс України про адміністративні правопорушення від 7 грудня 1984 р. // Відомості Верховної Ради Української РСР. – 1984. – Ст.. </w:t>
      </w:r>
      <w:r w:rsidRPr="00461714">
        <w:rPr>
          <w:rFonts w:ascii="Times New Roman" w:hAnsi="Times New Roman" w:cs="Times New Roman"/>
          <w:sz w:val="28"/>
          <w:szCs w:val="28"/>
          <w:lang w:val="uk-UA"/>
        </w:rPr>
        <w:t xml:space="preserve">1122 (зі змінами).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2. Митний кодекс України від 13 березня 2012 р. // Відомості Верховної Ради України. – 2012. – № 44-45, № 46-47, № 48. – Ст. 552 (зі змінами).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Закон України «Про запобігання корупції» від 14 жовтня 2014 р. // Відомості Верховної Ради України. – 2014. – № 49. – Ст. 2056 (зі змінами). </w:t>
      </w:r>
      <w:r w:rsidRPr="00461714">
        <w:rPr>
          <w:rFonts w:ascii="Times New Roman" w:hAnsi="Times New Roman" w:cs="Times New Roman"/>
          <w:sz w:val="28"/>
          <w:szCs w:val="28"/>
          <w:lang w:val="uk-UA"/>
        </w:rPr>
        <w:t xml:space="preserve">4. Авер’янов В., Лук’янець Д., Хорощак Н. Потрібні нові концептуальні засади створення проекту Кодексу України про адміністративні проступки // Право України. – 2004. – №11.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Адміністративно-деліктне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Автор-упорядник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– К.: Книги 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2007. – 912 с.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Алімов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К.О.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– 2011. - №3. – С.98 - 104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Т. В. //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– 2014. – № 11 (14). – С. 146 – 151.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Багаденко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І.П. Заходи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неповнолітні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Кодексу України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проступки/ Держава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45.- К.: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В.М.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НАН України, 2009.- С. 281-286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Берлач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А., Стороженко О.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делікту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// Право України. – 2007. – №10.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81227C">
        <w:rPr>
          <w:rFonts w:ascii="Times New Roman" w:hAnsi="Times New Roman" w:cs="Times New Roman"/>
          <w:sz w:val="28"/>
          <w:szCs w:val="28"/>
          <w:lang w:val="uk-UA"/>
        </w:rPr>
        <w:t>Бєлєвська</w:t>
      </w:r>
      <w:proofErr w:type="spellEnd"/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 О. Особливості адміністративної відповідальності іноземців в Україні // Право України. – 2008. – №9.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Богуцький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у справах про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</w:t>
      </w:r>
      <w:proofErr w:type="gramStart"/>
      <w:r w:rsidRPr="008122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Богуцький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Богуцька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Мартиновський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– 4-те вид.,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– Х.: ФІНН, 2012. – 216 с. 12. Бондаренко Г.П.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 СРСР. - Львів, 1975.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13. Герасименко Є.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проступку // Право України. – 1999. – №4. 70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14. Герасименко Є.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вини при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// Право України. – 1998. – №7.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Гуржій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Т. Предмет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делікту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// Право України. – 2006. – №7, №8.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// Право України. – 2001. – № 8.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81227C">
        <w:rPr>
          <w:rFonts w:ascii="Times New Roman" w:hAnsi="Times New Roman" w:cs="Times New Roman"/>
          <w:sz w:val="28"/>
          <w:szCs w:val="28"/>
          <w:lang w:val="uk-UA"/>
        </w:rPr>
        <w:t>Кіселичник</w:t>
      </w:r>
      <w:proofErr w:type="spellEnd"/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81227C">
        <w:rPr>
          <w:rFonts w:ascii="Times New Roman" w:hAnsi="Times New Roman" w:cs="Times New Roman"/>
          <w:sz w:val="28"/>
          <w:szCs w:val="28"/>
          <w:lang w:val="uk-UA"/>
        </w:rPr>
        <w:t>Стефанчук</w:t>
      </w:r>
      <w:proofErr w:type="spellEnd"/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 М. Новели у законодавстві України про адміністративну відповідальність за вчинення правопорушень, пов’язаних з корупцією / В. </w:t>
      </w:r>
      <w:proofErr w:type="spellStart"/>
      <w:r w:rsidRPr="0081227C">
        <w:rPr>
          <w:rFonts w:ascii="Times New Roman" w:hAnsi="Times New Roman" w:cs="Times New Roman"/>
          <w:sz w:val="28"/>
          <w:szCs w:val="28"/>
          <w:lang w:val="uk-UA"/>
        </w:rPr>
        <w:t>Кіселичник</w:t>
      </w:r>
      <w:proofErr w:type="spellEnd"/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81227C">
        <w:rPr>
          <w:rFonts w:ascii="Times New Roman" w:hAnsi="Times New Roman" w:cs="Times New Roman"/>
          <w:sz w:val="28"/>
          <w:szCs w:val="28"/>
          <w:lang w:val="uk-UA"/>
        </w:rPr>
        <w:t>Стефанчук</w:t>
      </w:r>
      <w:proofErr w:type="spellEnd"/>
      <w:r w:rsidRPr="0081227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часопис Національної академії прокуратури України. – 2015. – № 1. – С. 93 – 100. </w:t>
      </w:r>
      <w:r w:rsidRPr="0081227C">
        <w:rPr>
          <w:rFonts w:ascii="Times New Roman" w:hAnsi="Times New Roman" w:cs="Times New Roman"/>
          <w:sz w:val="28"/>
          <w:szCs w:val="28"/>
        </w:rPr>
        <w:t xml:space="preserve">18. Коваль Л.В.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школа, 1975. </w:t>
      </w:r>
    </w:p>
    <w:p w:rsid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Коліушко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проступку в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. // Право України. – 2008. – №4. - Ст. 31-36. </w:t>
      </w:r>
    </w:p>
    <w:p w:rsidR="0081227C" w:rsidRPr="0081227C" w:rsidRDefault="0081227C" w:rsidP="0081227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7C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1227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1227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7C">
        <w:rPr>
          <w:rFonts w:ascii="Times New Roman" w:hAnsi="Times New Roman" w:cs="Times New Roman"/>
          <w:sz w:val="28"/>
          <w:szCs w:val="28"/>
        </w:rPr>
        <w:t>процесуально-правові</w:t>
      </w:r>
      <w:proofErr w:type="spellEnd"/>
      <w:r w:rsidRPr="0081227C">
        <w:rPr>
          <w:rFonts w:ascii="Times New Roman" w:hAnsi="Times New Roman" w:cs="Times New Roman"/>
          <w:sz w:val="28"/>
          <w:szCs w:val="28"/>
        </w:rPr>
        <w:t xml:space="preserve"> характеристики // Право України. – 1999. - №8. – С.90-92.</w:t>
      </w:r>
    </w:p>
    <w:sectPr w:rsidR="0081227C" w:rsidRPr="0081227C" w:rsidSect="00BD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8B2"/>
    <w:multiLevelType w:val="hybridMultilevel"/>
    <w:tmpl w:val="853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227C"/>
    <w:rsid w:val="00461714"/>
    <w:rsid w:val="0081227C"/>
    <w:rsid w:val="00B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5126</Words>
  <Characters>2923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Shandra</cp:lastModifiedBy>
  <cp:revision>4</cp:revision>
  <dcterms:created xsi:type="dcterms:W3CDTF">2020-05-01T04:42:00Z</dcterms:created>
  <dcterms:modified xsi:type="dcterms:W3CDTF">2020-05-01T10:57:00Z</dcterms:modified>
</cp:coreProperties>
</file>