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F0D8" w14:textId="6797B60A" w:rsidR="003C553C" w:rsidRPr="00875150" w:rsidRDefault="003C553C" w:rsidP="003C5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50">
        <w:rPr>
          <w:rFonts w:ascii="Times New Roman" w:hAnsi="Times New Roman" w:cs="Times New Roman"/>
          <w:b/>
          <w:sz w:val="28"/>
          <w:szCs w:val="28"/>
        </w:rPr>
        <w:t>Питання з історії держави і права України</w:t>
      </w:r>
    </w:p>
    <w:p w14:paraId="40C056DA" w14:textId="77777777" w:rsidR="003C553C" w:rsidRPr="00B11370" w:rsidRDefault="003C553C" w:rsidP="003C55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І</w:t>
      </w:r>
    </w:p>
    <w:p w14:paraId="2DD0AE81" w14:textId="77777777" w:rsidR="003C553C" w:rsidRPr="000C252A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 періодизації історії держави і права України. </w:t>
      </w:r>
      <w:r w:rsidRPr="000C252A">
        <w:rPr>
          <w:rFonts w:ascii="Times New Roman" w:hAnsi="Times New Roman" w:cs="Times New Roman"/>
          <w:sz w:val="28"/>
          <w:szCs w:val="28"/>
        </w:rPr>
        <w:t>Територіальний підхід до вивчення курсу «Історія держави і права України».</w:t>
      </w:r>
    </w:p>
    <w:p w14:paraId="39C36561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Державність і право давніх степових народів України кіммерійців та скіфів: загальна характеристика.</w:t>
      </w:r>
    </w:p>
    <w:p w14:paraId="1814FDE7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Державність і право Скіфії.</w:t>
      </w:r>
    </w:p>
    <w:p w14:paraId="785D3B37" w14:textId="77777777" w:rsidR="003C553C" w:rsidRPr="000C252A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устрій античних міст-держав Північного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Причорноморʼя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B5A4F1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Джерела та характерні риси права античних міст-держав Північного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Причорноморʼя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85840B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Державно-правовий устрій Боспорського царства.</w:t>
      </w:r>
    </w:p>
    <w:p w14:paraId="072799AD" w14:textId="77777777" w:rsidR="003C553C" w:rsidRPr="000C252A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 антів. </w:t>
      </w:r>
      <w:proofErr w:type="spellStart"/>
      <w:r w:rsidRPr="000C252A">
        <w:rPr>
          <w:rFonts w:ascii="Times New Roman" w:hAnsi="Times New Roman" w:cs="Times New Roman"/>
          <w:sz w:val="28"/>
          <w:szCs w:val="28"/>
        </w:rPr>
        <w:t>Протодержави</w:t>
      </w:r>
      <w:proofErr w:type="spellEnd"/>
      <w:r w:rsidRPr="000C252A">
        <w:rPr>
          <w:rFonts w:ascii="Times New Roman" w:hAnsi="Times New Roman" w:cs="Times New Roman"/>
          <w:sz w:val="28"/>
          <w:szCs w:val="28"/>
        </w:rPr>
        <w:t xml:space="preserve"> східних </w:t>
      </w:r>
      <w:proofErr w:type="spellStart"/>
      <w:r w:rsidRPr="000C252A">
        <w:rPr>
          <w:rFonts w:ascii="Times New Roman" w:hAnsi="Times New Roman" w:cs="Times New Roman"/>
          <w:sz w:val="28"/>
          <w:szCs w:val="28"/>
        </w:rPr>
        <w:t>словʼян</w:t>
      </w:r>
      <w:proofErr w:type="spellEnd"/>
      <w:r w:rsidRPr="000C252A">
        <w:rPr>
          <w:rFonts w:ascii="Times New Roman" w:hAnsi="Times New Roman" w:cs="Times New Roman"/>
          <w:sz w:val="28"/>
          <w:szCs w:val="28"/>
        </w:rPr>
        <w:t>.</w:t>
      </w:r>
    </w:p>
    <w:p w14:paraId="153F491B" w14:textId="77777777" w:rsidR="003C553C" w:rsidRPr="000C252A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походження української державності (прикладні).</w:t>
      </w:r>
      <w:r w:rsidRPr="000C252A">
        <w:rPr>
          <w:rFonts w:ascii="Times New Roman" w:hAnsi="Times New Roman" w:cs="Times New Roman"/>
          <w:sz w:val="28"/>
          <w:szCs w:val="28"/>
        </w:rPr>
        <w:t xml:space="preserve"> Форма та етапи формування держави Київська Русь.</w:t>
      </w:r>
    </w:p>
    <w:p w14:paraId="37E460AF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Центральні органи влади Київської Русі: князь, дружина, віче. Судоустрій Київської Русі.</w:t>
      </w:r>
    </w:p>
    <w:p w14:paraId="4F5DE52D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 влади Київської Русі: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княжий двір, місцеві органи влади і управління.</w:t>
      </w:r>
    </w:p>
    <w:p w14:paraId="602DD3C0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Джерела права Київської русі: звичаєве право та міжнародні договори.</w:t>
      </w:r>
    </w:p>
    <w:p w14:paraId="592155E0" w14:textId="77777777" w:rsidR="003C553C" w:rsidRPr="000C252A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Джерела права Київської Русі: ряди та князівське законодавство. </w:t>
      </w:r>
      <w:r w:rsidRPr="000C252A">
        <w:rPr>
          <w:rFonts w:ascii="Times New Roman" w:hAnsi="Times New Roman" w:cs="Times New Roman"/>
          <w:sz w:val="28"/>
          <w:szCs w:val="28"/>
        </w:rPr>
        <w:t>«Руська правда»: списки та редакції, загальна характеристика.</w:t>
      </w:r>
    </w:p>
    <w:p w14:paraId="6EE84624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Цивільне право Київської Русі: право власності. Інститут банкрутства.</w:t>
      </w:r>
    </w:p>
    <w:p w14:paraId="5FD7D620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Цивільне право Київської Русі: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зобовʼязальне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та сервітути. Спадкове право Київської Русі.</w:t>
      </w:r>
    </w:p>
    <w:p w14:paraId="763E7DFC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Шлюбно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-сімейне право Київської Русі.</w:t>
      </w:r>
    </w:p>
    <w:p w14:paraId="5674301F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Кримінальне право Київської Русі: поняття злочину,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субʼєкт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вчинення злочину, обставини,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помʼякшували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обтяжували відповідальність, стадії вчинення злочину та співучасть.</w:t>
      </w:r>
    </w:p>
    <w:p w14:paraId="4266ED9A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Кримінальне право Київської Русі: в</w:t>
      </w:r>
      <w:r w:rsidRPr="00B41AC2">
        <w:rPr>
          <w:rFonts w:ascii="Times New Roman" w:hAnsi="Times New Roman" w:cs="Times New Roman"/>
          <w:sz w:val="28"/>
          <w:szCs w:val="28"/>
        </w:rPr>
        <w:t>иди злочині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01B60CB5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Кримінальне право Київської Русі: поняття та система покарання.</w:t>
      </w:r>
    </w:p>
    <w:p w14:paraId="4012347A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Судовий процес Київської Русі. Звід. Гоніння по сліду.</w:t>
      </w:r>
    </w:p>
    <w:p w14:paraId="1573F30F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Суспільний лад Київської Русі.</w:t>
      </w:r>
    </w:p>
    <w:p w14:paraId="1C403C8D" w14:textId="77777777" w:rsidR="003C553C" w:rsidRPr="000C252A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Характерні риси державності Галицько-Волинського королівства</w:t>
      </w:r>
      <w:r w:rsidRPr="000C252A">
        <w:rPr>
          <w:rFonts w:ascii="Times New Roman" w:hAnsi="Times New Roman" w:cs="Times New Roman"/>
          <w:sz w:val="28"/>
          <w:szCs w:val="28"/>
        </w:rPr>
        <w:t>.</w:t>
      </w:r>
    </w:p>
    <w:p w14:paraId="675FA63E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Особливості правового ладу Галицько-Волинської держави. Галицько-Волинська держава у період правління Данила Галицького.</w:t>
      </w:r>
    </w:p>
    <w:p w14:paraId="5B797B21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 входження українських земель до складу Великого Князівства Литовського та їхнє становище у складі литовської держави.</w:t>
      </w:r>
    </w:p>
    <w:p w14:paraId="5E757C53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устрій Великого Князівства Литовського: центральні та місцеві органи влади.</w:t>
      </w:r>
    </w:p>
    <w:p w14:paraId="5C2F6619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Суспільний лад Великого Князівства Литовського.</w:t>
      </w:r>
    </w:p>
    <w:p w14:paraId="216CC724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і його компетенція у Великому Князівстві Литовському після прийняття ІІ Литовського статуту.</w:t>
      </w:r>
    </w:p>
    <w:p w14:paraId="652085CB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і його компетенція у Великому Князівстві Литовському до прийняття ІІ Литовського статуту.</w:t>
      </w:r>
    </w:p>
    <w:p w14:paraId="2BB9B528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Судовий процес у Великому Князівстві Литовському.</w:t>
      </w:r>
    </w:p>
    <w:p w14:paraId="0E679567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доказів у Великому Князівстві Литовському.</w:t>
      </w:r>
    </w:p>
    <w:p w14:paraId="36DB4A0A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права Великого Князівства Литовського: Литовські статути та їхня загальна характеристика.</w:t>
      </w:r>
    </w:p>
    <w:p w14:paraId="15B42F43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волоки» 1557 р.: зміст та наслідки реформи.</w:t>
      </w:r>
    </w:p>
    <w:p w14:paraId="3C85D7B6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Кримінальне право Великого Князівства Литовського: поняття та види злочинів.</w:t>
      </w:r>
    </w:p>
    <w:p w14:paraId="75B127B2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Кримінальне право Великого Князівства Литовського: мета та система покарань.</w:t>
      </w:r>
    </w:p>
    <w:p w14:paraId="284CDBEA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Цивільне право Великого Князівства Литовського: право власності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зобовʼязальне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</w:t>
      </w:r>
    </w:p>
    <w:p w14:paraId="279D6A6A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Спадкове право Великого Князівства Литовського.</w:t>
      </w:r>
    </w:p>
    <w:p w14:paraId="5D082625" w14:textId="77777777" w:rsidR="003C553C" w:rsidRPr="006B45B9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Шлюбно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-сімейне право Великого Князівства Литовського.</w:t>
      </w:r>
    </w:p>
    <w:p w14:paraId="1CAC37C7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Утворення Речі Посполитої. Причини ухвалення Люблінської унії та основні умови на яких відбулось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Великого Князівства Литовського та Королівства Польського. Українське питання на переговорах у Любліні.</w:t>
      </w:r>
    </w:p>
    <w:p w14:paraId="15E49B12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у державному устрої Речі Посполитої  після ухвалення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Генриківських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артикулів».</w:t>
      </w:r>
    </w:p>
    <w:p w14:paraId="7E1DC9D7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Центральні органи влади і управління Королівства Польського: сейм та його структурні компоненти. Спеціальні сейми.</w:t>
      </w:r>
    </w:p>
    <w:p w14:paraId="57D5482C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Вищі державні сановники, місцеві органи влади</w:t>
      </w:r>
      <w:r w:rsidRPr="0000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Королівства Польського та Речі Посполитої.</w:t>
      </w:r>
    </w:p>
    <w:p w14:paraId="2C3E9E9F" w14:textId="77777777" w:rsidR="003C553C" w:rsidRPr="00886788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Судоустрій Королівства Польського та Речі Посполитої.</w:t>
      </w:r>
    </w:p>
    <w:p w14:paraId="7957FD0B" w14:textId="77777777" w:rsidR="003C553C" w:rsidRPr="000C252A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Суспільний лад Королівства Польського та Речі Посполитої: шляхта і духовенство, міщани, вільні селяни, напіввільні і невільники</w:t>
      </w:r>
      <w:r w:rsidRPr="000C252A">
        <w:rPr>
          <w:rFonts w:ascii="Times New Roman" w:hAnsi="Times New Roman" w:cs="Times New Roman"/>
          <w:sz w:val="28"/>
          <w:szCs w:val="28"/>
        </w:rPr>
        <w:t>.</w:t>
      </w:r>
    </w:p>
    <w:p w14:paraId="3F93938B" w14:textId="77777777" w:rsidR="003C553C" w:rsidRPr="000C252A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252A">
        <w:rPr>
          <w:rFonts w:ascii="Times New Roman" w:hAnsi="Times New Roman" w:cs="Times New Roman"/>
          <w:sz w:val="28"/>
          <w:szCs w:val="28"/>
        </w:rPr>
        <w:t>Судовий процес Королівства Польського та Речі Посполитої.</w:t>
      </w:r>
    </w:p>
    <w:p w14:paraId="1B9021C7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права на українських землях у складі Королівства Польського та Речі Посполитої.</w:t>
      </w:r>
    </w:p>
    <w:p w14:paraId="036C8073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Поняття та види злочинів на українських землях у складі Королівства Польського та Речі Посполитої.</w:t>
      </w:r>
    </w:p>
    <w:p w14:paraId="7488753F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покарань на українських землях у складі Королівства Польського та Речі Посполитої.</w:t>
      </w:r>
    </w:p>
    <w:p w14:paraId="3206D7F1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цивільного права Королівства Польського та Речі Посполитої: право та дієздатність та чинники, що на них впливали.</w:t>
      </w:r>
    </w:p>
    <w:p w14:paraId="4B96FB50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Шлюбно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-сімейне право Королівства Польського та Речі Посполитої.</w:t>
      </w:r>
    </w:p>
    <w:p w14:paraId="7A33FFD4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власності та інші речові права Королівства Польського та Речі Посполитої: види та обмеження, способи набуття та припинення.</w:t>
      </w:r>
    </w:p>
    <w:p w14:paraId="37EA6B11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зобов’язань у цивільному праві Королівства Польського та Речі Посполитої та гарантії забезпечення їхнього виконання.</w:t>
      </w:r>
    </w:p>
    <w:p w14:paraId="371A392D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Спадкове право на українських землях у складі Королівства Польського та Речі Посполитої.</w:t>
      </w:r>
    </w:p>
    <w:p w14:paraId="04105090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злочину та підстави, що виключали протиправність діяння у Королівстві Польському та Речі Посполитій, індивідуальна та колективна кримінальна відповідальність.</w:t>
      </w:r>
    </w:p>
    <w:p w14:paraId="00EF564B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злочинів та їхні кваліфікуючі ознаки у Королівстві Польському та Речі Посполитій.</w:t>
      </w:r>
    </w:p>
    <w:p w14:paraId="78CE34A3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покарання за кримінальним правом</w:t>
      </w:r>
      <w:r w:rsidRPr="0000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Королівства Польського та Речі Посполитої, підстави уникнення покарання, кумуляція покарань, система покарань.</w:t>
      </w:r>
    </w:p>
    <w:p w14:paraId="19C656AA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Судовий процес Королівства Польського та Речі Посполитої: забезпечення явки, неявка до суду, учасники процесу, позов та відповідь на нього.</w:t>
      </w:r>
    </w:p>
    <w:p w14:paraId="68F78A1A" w14:textId="77777777" w:rsidR="003C553C" w:rsidRPr="002B335D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Судовий процес Королівства Польського та Речі Посполитої: строки розгляду справи та можливість зупинення розгляду справи та перенесення її на розгляд до іншого суду. </w:t>
      </w:r>
      <w:r w:rsidRPr="002B335D">
        <w:rPr>
          <w:rFonts w:ascii="Times New Roman" w:hAnsi="Times New Roman" w:cs="Times New Roman"/>
          <w:sz w:val="28"/>
          <w:szCs w:val="28"/>
        </w:rPr>
        <w:t>Формальна теорія доказів Королівства Польського і Речі Посполитої та їхня система.</w:t>
      </w:r>
    </w:p>
    <w:p w14:paraId="7B79F92F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Конституційні акти шляхетської республіки у Речі Посполитій.</w:t>
      </w:r>
    </w:p>
    <w:p w14:paraId="115975F1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Склад, компетенція та діяльність Вального Сейму у період Речі Посполитої.</w:t>
      </w:r>
    </w:p>
    <w:p w14:paraId="300E4763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Шлюбно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-сімейне право Речі Посполитої: визнання шлюбу недійсним,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адопція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(усиновлення), опіка і піклування.</w:t>
      </w:r>
    </w:p>
    <w:p w14:paraId="2ED57A95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магдебурзького права та історія його розвитку на українських землях.</w:t>
      </w:r>
    </w:p>
    <w:p w14:paraId="4ECC62E5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 управління містом за магдебурзьким правом: лава та війт.</w:t>
      </w:r>
    </w:p>
    <w:p w14:paraId="11FAD0F2" w14:textId="77777777" w:rsidR="003C553C" w:rsidRPr="00186F86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 управління містом за магдебурзьким правом: рада.</w:t>
      </w:r>
    </w:p>
    <w:p w14:paraId="5E2EA104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Міське населення у містах з магдебурзьким правом і його правовий статус, система професійної організації у містах.</w:t>
      </w:r>
    </w:p>
    <w:p w14:paraId="3DE3ECC5" w14:textId="77777777" w:rsidR="003C553C" w:rsidRDefault="003C553C" w:rsidP="003C5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2E6C8F5F">
        <w:rPr>
          <w:rFonts w:ascii="Times New Roman" w:hAnsi="Times New Roman" w:cs="Times New Roman"/>
          <w:sz w:val="28"/>
          <w:szCs w:val="28"/>
        </w:rPr>
        <w:t>Джерела магдебурзького права в Україні та підстави набуття містами магдебурзького права.</w:t>
      </w:r>
    </w:p>
    <w:p w14:paraId="060463C8" w14:textId="5E397742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sz w:val="28"/>
          <w:szCs w:val="28"/>
          <w:lang w:val="uk"/>
        </w:rPr>
        <w:t>Виникнення Запорізької Січі та її роль в історії державотворення українського народу.</w:t>
      </w:r>
    </w:p>
    <w:p w14:paraId="63D3F831" w14:textId="300FD28B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sz w:val="28"/>
          <w:szCs w:val="28"/>
          <w:lang w:val="uk"/>
        </w:rPr>
        <w:t>Характеристика військової і територіальної організації Війська Запорізького.</w:t>
      </w:r>
      <w:r w:rsidRPr="2E6C8F5F">
        <w:rPr>
          <w:sz w:val="28"/>
          <w:szCs w:val="28"/>
          <w:lang w:val="ru"/>
        </w:rPr>
        <w:t xml:space="preserve"> М</w:t>
      </w:r>
      <w:proofErr w:type="spellStart"/>
      <w:r w:rsidRPr="2E6C8F5F">
        <w:rPr>
          <w:sz w:val="28"/>
          <w:szCs w:val="28"/>
          <w:lang w:val="uk"/>
        </w:rPr>
        <w:t>ісцеві</w:t>
      </w:r>
      <w:proofErr w:type="spellEnd"/>
      <w:r w:rsidRPr="2E6C8F5F">
        <w:rPr>
          <w:sz w:val="28"/>
          <w:szCs w:val="28"/>
          <w:lang w:val="uk"/>
        </w:rPr>
        <w:t xml:space="preserve"> органи управління</w:t>
      </w:r>
    </w:p>
    <w:p w14:paraId="1FA483FF" w14:textId="6F8B0E84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sz w:val="28"/>
          <w:szCs w:val="28"/>
          <w:lang w:val="uk"/>
        </w:rPr>
        <w:t>Органи влади та управління Запорізької Січі:</w:t>
      </w:r>
      <w:r w:rsidRPr="2E6C8F5F">
        <w:rPr>
          <w:sz w:val="28"/>
          <w:szCs w:val="28"/>
        </w:rPr>
        <w:t xml:space="preserve"> </w:t>
      </w:r>
    </w:p>
    <w:p w14:paraId="6A1F46BD" w14:textId="79018C72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sz w:val="28"/>
          <w:szCs w:val="28"/>
          <w:lang w:val="uk"/>
        </w:rPr>
        <w:t>Суд і судочинство на Запорізькій Січі.</w:t>
      </w:r>
      <w:r w:rsidRPr="2E6C8F5F">
        <w:rPr>
          <w:sz w:val="28"/>
          <w:szCs w:val="28"/>
        </w:rPr>
        <w:t xml:space="preserve"> </w:t>
      </w:r>
    </w:p>
    <w:p w14:paraId="4F44C3C2" w14:textId="359DDFAA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sz w:val="28"/>
          <w:szCs w:val="28"/>
          <w:lang w:val="uk"/>
        </w:rPr>
        <w:lastRenderedPageBreak/>
        <w:t xml:space="preserve"> Джерела та характерні риси «козацького права».</w:t>
      </w:r>
      <w:r w:rsidRPr="2E6C8F5F">
        <w:rPr>
          <w:sz w:val="28"/>
          <w:szCs w:val="28"/>
        </w:rPr>
        <w:t xml:space="preserve"> </w:t>
      </w:r>
    </w:p>
    <w:p w14:paraId="78711D3D" w14:textId="6630F9E2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>Утворення і розвиток Козацько-Гетьманської держави в ході національно-визвольної війни (1648-1654 рр.). Специфіка державотворення.</w:t>
      </w:r>
    </w:p>
    <w:p w14:paraId="453866AE" w14:textId="1AF585C3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>Укладення і аналіз україно-московського договору 1654 р.</w:t>
      </w:r>
    </w:p>
    <w:p w14:paraId="28318CEA" w14:textId="33D06AED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>Рішення Земських Соборів (1651, 1653 рр.) та Переяславської ради.</w:t>
      </w:r>
    </w:p>
    <w:p w14:paraId="40A2C077" w14:textId="68A16F84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>Розробка і укладення письмової угоди: статті Б. Хмельницького, Березневі статті, царські Жалувані грамоти – зміст, аналіз, оцінка.</w:t>
      </w:r>
    </w:p>
    <w:p w14:paraId="3009ACC8" w14:textId="6E05736C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Правовий статус Гетьманщини за договором 1654 року (форма державно-правового зв’язку між Гетьманщиною та Московією) та його політико-правові наслідки. </w:t>
      </w:r>
    </w:p>
    <w:p w14:paraId="2EF36654" w14:textId="1122C2E7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>Апарат управління Козацько-Гетьманської держави: вищі органи управління.</w:t>
      </w:r>
    </w:p>
    <w:p w14:paraId="2C4EC16A" w14:textId="5C0C8DC3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>Апарат управління Козацько-Гетьманської держави: місцеві та судові органи.</w:t>
      </w:r>
    </w:p>
    <w:p w14:paraId="6E6437B3" w14:textId="2F26B2CA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>Поступове обмеження та ліквідація царизмом автономії Гетьманщини.</w:t>
      </w:r>
    </w:p>
    <w:p w14:paraId="563A8F26" w14:textId="6FC3A17F" w:rsidR="0893006F" w:rsidRDefault="0893006F" w:rsidP="2E6C8F5F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E6C8F5F">
        <w:rPr>
          <w:rFonts w:ascii="Times New Roman" w:eastAsia="Times New Roman" w:hAnsi="Times New Roman" w:cs="Times New Roman"/>
          <w:sz w:val="28"/>
          <w:szCs w:val="28"/>
          <w:lang w:val="uk"/>
        </w:rPr>
        <w:t>Остаточна ліквідація російським царизмом автономії Гетьманщини та ліквідація Запорізької Січі.</w:t>
      </w:r>
    </w:p>
    <w:p w14:paraId="5E59C68A" w14:textId="40CBC5D4" w:rsidR="2E6C8F5F" w:rsidRDefault="2E6C8F5F" w:rsidP="2E6C8F5F">
      <w:pPr>
        <w:rPr>
          <w:rFonts w:ascii="Times New Roman" w:hAnsi="Times New Roman" w:cs="Times New Roman"/>
          <w:sz w:val="28"/>
          <w:szCs w:val="28"/>
        </w:rPr>
      </w:pPr>
    </w:p>
    <w:p w14:paraId="6BFF24FE" w14:textId="77777777" w:rsidR="005E7714" w:rsidRDefault="005E7714"/>
    <w:sectPr w:rsidR="005E7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8D4"/>
    <w:multiLevelType w:val="hybridMultilevel"/>
    <w:tmpl w:val="0D8C272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0A43"/>
    <w:multiLevelType w:val="hybridMultilevel"/>
    <w:tmpl w:val="DDF0E188"/>
    <w:lvl w:ilvl="0" w:tplc="C11E2320">
      <w:start w:val="1"/>
      <w:numFmt w:val="decimal"/>
      <w:lvlText w:val="%1."/>
      <w:lvlJc w:val="left"/>
      <w:pPr>
        <w:ind w:left="720" w:hanging="360"/>
      </w:pPr>
    </w:lvl>
    <w:lvl w:ilvl="1" w:tplc="DF2E6B7A">
      <w:start w:val="1"/>
      <w:numFmt w:val="lowerLetter"/>
      <w:lvlText w:val="%2."/>
      <w:lvlJc w:val="left"/>
      <w:pPr>
        <w:ind w:left="1440" w:hanging="360"/>
      </w:pPr>
    </w:lvl>
    <w:lvl w:ilvl="2" w:tplc="B502A582">
      <w:start w:val="1"/>
      <w:numFmt w:val="lowerRoman"/>
      <w:lvlText w:val="%3."/>
      <w:lvlJc w:val="right"/>
      <w:pPr>
        <w:ind w:left="2160" w:hanging="180"/>
      </w:pPr>
    </w:lvl>
    <w:lvl w:ilvl="3" w:tplc="17DA73E2">
      <w:start w:val="1"/>
      <w:numFmt w:val="decimal"/>
      <w:lvlText w:val="%4."/>
      <w:lvlJc w:val="left"/>
      <w:pPr>
        <w:ind w:left="2880" w:hanging="360"/>
      </w:pPr>
    </w:lvl>
    <w:lvl w:ilvl="4" w:tplc="38660BAE">
      <w:start w:val="1"/>
      <w:numFmt w:val="lowerLetter"/>
      <w:lvlText w:val="%5."/>
      <w:lvlJc w:val="left"/>
      <w:pPr>
        <w:ind w:left="3600" w:hanging="360"/>
      </w:pPr>
    </w:lvl>
    <w:lvl w:ilvl="5" w:tplc="8464617C">
      <w:start w:val="1"/>
      <w:numFmt w:val="lowerRoman"/>
      <w:lvlText w:val="%6."/>
      <w:lvlJc w:val="right"/>
      <w:pPr>
        <w:ind w:left="4320" w:hanging="180"/>
      </w:pPr>
    </w:lvl>
    <w:lvl w:ilvl="6" w:tplc="4BB0F53E">
      <w:start w:val="1"/>
      <w:numFmt w:val="decimal"/>
      <w:lvlText w:val="%7."/>
      <w:lvlJc w:val="left"/>
      <w:pPr>
        <w:ind w:left="5040" w:hanging="360"/>
      </w:pPr>
    </w:lvl>
    <w:lvl w:ilvl="7" w:tplc="14101116">
      <w:start w:val="1"/>
      <w:numFmt w:val="lowerLetter"/>
      <w:lvlText w:val="%8."/>
      <w:lvlJc w:val="left"/>
      <w:pPr>
        <w:ind w:left="5760" w:hanging="360"/>
      </w:pPr>
    </w:lvl>
    <w:lvl w:ilvl="8" w:tplc="D1AC30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3C"/>
    <w:rsid w:val="002F04CA"/>
    <w:rsid w:val="003C553C"/>
    <w:rsid w:val="0052591B"/>
    <w:rsid w:val="005E7714"/>
    <w:rsid w:val="00A510C5"/>
    <w:rsid w:val="0893006F"/>
    <w:rsid w:val="2E6C8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CBB0"/>
  <w15:docId w15:val="{6F0DB915-1FC2-4CB3-B9CE-6D05E34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8C8A7ED716BA4FAB0A9E5E92B691B7" ma:contentTypeVersion="2" ma:contentTypeDescription="Створення нового документа." ma:contentTypeScope="" ma:versionID="9d9b29c4e05b29dbacbc93087d3fad3f">
  <xsd:schema xmlns:xsd="http://www.w3.org/2001/XMLSchema" xmlns:xs="http://www.w3.org/2001/XMLSchema" xmlns:p="http://schemas.microsoft.com/office/2006/metadata/properties" xmlns:ns2="2914c98c-7cdc-4a09-9b72-23b9c96d9bc6" targetNamespace="http://schemas.microsoft.com/office/2006/metadata/properties" ma:root="true" ma:fieldsID="074cc95c7b8ce84f8bd469b86ca108c9" ns2:_="">
    <xsd:import namespace="2914c98c-7cdc-4a09-9b72-23b9c96d9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c98c-7cdc-4a09-9b72-23b9c96d9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115D0-41A4-4350-8784-54D16728A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4c98c-7cdc-4a09-9b72-23b9c96d9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E2825-F9C1-4DC5-B083-6A2ED15DE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74092-6583-4BA3-82F4-F4A56B16C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Protopopov</dc:creator>
  <cp:lastModifiedBy>Христина Моряк-Протопопова</cp:lastModifiedBy>
  <cp:revision>5</cp:revision>
  <dcterms:created xsi:type="dcterms:W3CDTF">2020-11-11T18:11:00Z</dcterms:created>
  <dcterms:modified xsi:type="dcterms:W3CDTF">2020-12-03T11:13:00Z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0x0101007F8C8A7ED716BA4FAB0A9E5E92B691B7</vt:lpwstr>
  </property>
</Properties>
</file>