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3" w:rsidRPr="007726F6" w:rsidRDefault="005E4D83" w:rsidP="007726F6">
      <w:pPr>
        <w:jc w:val="center"/>
        <w:rPr>
          <w:i/>
          <w:vertAlign w:val="superscript"/>
        </w:rPr>
      </w:pPr>
      <w:r w:rsidRPr="007726F6">
        <w:rPr>
          <w:b/>
          <w:color w:val="C00000"/>
          <w:lang w:val="ru-RU"/>
        </w:rPr>
        <w:t>Підготовка і проведення місцевих виборів в Україні</w:t>
      </w:r>
      <w:r w:rsidR="007251E6" w:rsidRPr="007726F6">
        <w:rPr>
          <w:b/>
          <w:color w:val="C00000"/>
        </w:rPr>
        <w:br/>
      </w:r>
      <w:r w:rsidR="004D4A33" w:rsidRPr="007726F6">
        <w:rPr>
          <w:i/>
          <w:vertAlign w:val="superscript"/>
        </w:rPr>
        <w:t>назва вибіркової дисципліни</w:t>
      </w:r>
    </w:p>
    <w:p w:rsidR="001C2A0F" w:rsidRPr="007726F6" w:rsidRDefault="001C2A0F" w:rsidP="007726F6">
      <w:pPr>
        <w:spacing w:before="360"/>
        <w:rPr>
          <w:b/>
          <w:i/>
        </w:rPr>
      </w:pPr>
      <w:r w:rsidRPr="007726F6">
        <w:rPr>
          <w:b/>
          <w:i/>
          <w:color w:val="0000CC"/>
        </w:rPr>
        <w:t>Освітній рівень</w:t>
      </w:r>
      <w:r w:rsidRPr="007726F6">
        <w:rPr>
          <w:i/>
          <w:color w:val="0000CC"/>
        </w:rPr>
        <w:t>:________</w:t>
      </w:r>
      <w:r w:rsidR="00FC2AAB" w:rsidRPr="007726F6">
        <w:rPr>
          <w:vertAlign w:val="superscript"/>
        </w:rPr>
        <w:t xml:space="preserve"> </w:t>
      </w:r>
      <w:r w:rsidR="00FC2AAB" w:rsidRPr="007726F6">
        <w:rPr>
          <w:u w:val="single"/>
        </w:rPr>
        <w:t>магістр (освітньо-професійна програма</w:t>
      </w:r>
      <w:r w:rsidR="00FC2AAB" w:rsidRPr="007726F6">
        <w:t>)</w:t>
      </w:r>
      <w:r w:rsidRPr="007726F6">
        <w:rPr>
          <w:i/>
        </w:rPr>
        <w:t>__________________</w:t>
      </w:r>
    </w:p>
    <w:p w:rsidR="001C2A0F" w:rsidRPr="007726F6" w:rsidRDefault="001C2A0F" w:rsidP="007726F6">
      <w:pPr>
        <w:ind w:left="851"/>
        <w:jc w:val="center"/>
        <w:rPr>
          <w:i/>
          <w:vertAlign w:val="superscript"/>
        </w:rPr>
      </w:pPr>
      <w:r w:rsidRPr="007726F6">
        <w:rPr>
          <w:i/>
          <w:vertAlign w:val="superscript"/>
        </w:rPr>
        <w:t>бакалавр, магістр (освітньо-наукова програма), магістр (освітньо-професійна програма)</w:t>
      </w:r>
    </w:p>
    <w:p w:rsidR="004D4A33" w:rsidRPr="007726F6" w:rsidRDefault="00AD4731" w:rsidP="007726F6">
      <w:pPr>
        <w:spacing w:before="240" w:after="240"/>
        <w:rPr>
          <w:b/>
          <w:i/>
          <w:color w:val="0000CC"/>
        </w:rPr>
      </w:pPr>
      <w:r w:rsidRPr="007726F6">
        <w:rPr>
          <w:b/>
          <w:i/>
          <w:color w:val="0000CC"/>
        </w:rPr>
        <w:t>Семестр: _____</w:t>
      </w:r>
    </w:p>
    <w:p w:rsidR="004D4A33" w:rsidRPr="007726F6" w:rsidRDefault="00FC2AAB" w:rsidP="007726F6">
      <w:pPr>
        <w:spacing w:before="240" w:after="240"/>
        <w:rPr>
          <w:b/>
          <w:i/>
          <w:color w:val="0000CC"/>
        </w:rPr>
      </w:pPr>
      <w:r w:rsidRPr="007726F6">
        <w:rPr>
          <w:b/>
          <w:i/>
          <w:color w:val="0000CC"/>
        </w:rPr>
        <w:t>Обсяг дисципліни:</w:t>
      </w:r>
    </w:p>
    <w:p w:rsidR="004D4A33" w:rsidRPr="007726F6" w:rsidRDefault="00AD4731" w:rsidP="007726F6">
      <w:r w:rsidRPr="007726F6">
        <w:rPr>
          <w:b/>
          <w:i/>
        </w:rPr>
        <w:t xml:space="preserve">загальна кількість годин </w:t>
      </w:r>
      <w:r w:rsidRPr="007726F6">
        <w:t xml:space="preserve">- </w:t>
      </w:r>
      <w:r w:rsidR="005E4D83" w:rsidRPr="007726F6">
        <w:t>45</w:t>
      </w:r>
      <w:r w:rsidRPr="007726F6">
        <w:rPr>
          <w:b/>
          <w:i/>
        </w:rPr>
        <w:t xml:space="preserve"> </w:t>
      </w:r>
      <w:r w:rsidRPr="007726F6">
        <w:rPr>
          <w:i/>
        </w:rPr>
        <w:t xml:space="preserve">(кредитів ЄКТС </w:t>
      </w:r>
      <w:r w:rsidR="00623768" w:rsidRPr="007726F6">
        <w:rPr>
          <w:i/>
        </w:rPr>
        <w:t>–</w:t>
      </w:r>
      <w:r w:rsidRPr="007726F6">
        <w:rPr>
          <w:i/>
        </w:rPr>
        <w:t xml:space="preserve"> </w:t>
      </w:r>
      <w:r w:rsidR="00623768" w:rsidRPr="007726F6">
        <w:rPr>
          <w:i/>
        </w:rPr>
        <w:t>4,5</w:t>
      </w:r>
      <w:r w:rsidRPr="007726F6">
        <w:rPr>
          <w:i/>
        </w:rPr>
        <w:t>);</w:t>
      </w:r>
      <w:r w:rsidRPr="007726F6">
        <w:t xml:space="preserve"> </w:t>
      </w:r>
    </w:p>
    <w:p w:rsidR="00AD4731" w:rsidRPr="007726F6" w:rsidRDefault="00AD4731" w:rsidP="007726F6">
      <w:pPr>
        <w:rPr>
          <w:b/>
          <w:i/>
        </w:rPr>
      </w:pPr>
      <w:r w:rsidRPr="007726F6">
        <w:rPr>
          <w:b/>
          <w:i/>
        </w:rPr>
        <w:t xml:space="preserve">аудиторні години - </w:t>
      </w:r>
      <w:r w:rsidR="005E4D83" w:rsidRPr="007726F6">
        <w:rPr>
          <w:b/>
          <w:i/>
        </w:rPr>
        <w:t>4</w:t>
      </w:r>
      <w:r w:rsidR="00452AC1" w:rsidRPr="007726F6">
        <w:rPr>
          <w:b/>
          <w:i/>
        </w:rPr>
        <w:t>0</w:t>
      </w:r>
      <w:r w:rsidR="00681026" w:rsidRPr="007726F6">
        <w:rPr>
          <w:b/>
          <w:i/>
        </w:rPr>
        <w:t xml:space="preserve"> </w:t>
      </w:r>
      <w:r w:rsidR="00681026" w:rsidRPr="007726F6">
        <w:rPr>
          <w:i/>
        </w:rPr>
        <w:t xml:space="preserve">(лекції </w:t>
      </w:r>
      <w:r w:rsidR="00681026" w:rsidRPr="007726F6">
        <w:rPr>
          <w:i/>
        </w:rPr>
        <w:noBreakHyphen/>
      </w:r>
      <w:r w:rsidRPr="007726F6">
        <w:rPr>
          <w:i/>
        </w:rPr>
        <w:t xml:space="preserve"> </w:t>
      </w:r>
      <w:r w:rsidR="005E4D83" w:rsidRPr="007726F6">
        <w:rPr>
          <w:i/>
        </w:rPr>
        <w:t>16</w:t>
      </w:r>
      <w:r w:rsidRPr="007726F6">
        <w:rPr>
          <w:i/>
        </w:rPr>
        <w:t xml:space="preserve"> , практичні </w:t>
      </w:r>
      <w:r w:rsidR="00681026" w:rsidRPr="007726F6">
        <w:rPr>
          <w:i/>
        </w:rPr>
        <w:noBreakHyphen/>
      </w:r>
      <w:r w:rsidRPr="007726F6">
        <w:rPr>
          <w:i/>
        </w:rPr>
        <w:t xml:space="preserve"> </w:t>
      </w:r>
      <w:r w:rsidR="005E4D83" w:rsidRPr="007726F6">
        <w:rPr>
          <w:i/>
        </w:rPr>
        <w:t>24</w:t>
      </w:r>
      <w:r w:rsidRPr="007726F6">
        <w:rPr>
          <w:i/>
        </w:rPr>
        <w:t>)</w:t>
      </w:r>
    </w:p>
    <w:p w:rsidR="00F22D6C" w:rsidRPr="007726F6" w:rsidRDefault="00C92FED" w:rsidP="007726F6">
      <w:pPr>
        <w:spacing w:before="240" w:after="240"/>
      </w:pPr>
      <w:r w:rsidRPr="007726F6">
        <w:rPr>
          <w:b/>
          <w:i/>
          <w:color w:val="0000CC"/>
        </w:rPr>
        <w:t>Лектор:</w:t>
      </w:r>
      <w:r w:rsidR="00194B1B" w:rsidRPr="007726F6">
        <w:rPr>
          <w:b/>
          <w:i/>
        </w:rPr>
        <w:t xml:space="preserve"> </w:t>
      </w:r>
      <w:r w:rsidR="00623768" w:rsidRPr="007726F6">
        <w:rPr>
          <w:b/>
        </w:rPr>
        <w:t>П</w:t>
      </w:r>
      <w:r w:rsidR="00FC2AAB" w:rsidRPr="007726F6">
        <w:rPr>
          <w:b/>
        </w:rPr>
        <w:t>а</w:t>
      </w:r>
      <w:r w:rsidR="00623768" w:rsidRPr="007726F6">
        <w:rPr>
          <w:b/>
        </w:rPr>
        <w:t>нкевич І</w:t>
      </w:r>
      <w:r w:rsidR="00FC2AAB" w:rsidRPr="007726F6">
        <w:rPr>
          <w:b/>
        </w:rPr>
        <w:t>.</w:t>
      </w:r>
      <w:r w:rsidR="00681026" w:rsidRPr="007726F6">
        <w:rPr>
          <w:b/>
        </w:rPr>
        <w:t> </w:t>
      </w:r>
      <w:r w:rsidR="00623768" w:rsidRPr="007726F6">
        <w:rPr>
          <w:b/>
        </w:rPr>
        <w:t>М</w:t>
      </w:r>
      <w:r w:rsidR="00FC2AAB" w:rsidRPr="007726F6">
        <w:rPr>
          <w:b/>
        </w:rPr>
        <w:t>.</w:t>
      </w:r>
    </w:p>
    <w:p w:rsidR="00CE61AF" w:rsidRDefault="00C92FED" w:rsidP="007726F6">
      <w:pPr>
        <w:spacing w:before="240" w:after="240"/>
        <w:rPr>
          <w:b/>
          <w:i/>
          <w:color w:val="0000CC"/>
        </w:rPr>
      </w:pPr>
      <w:r w:rsidRPr="007726F6">
        <w:rPr>
          <w:b/>
          <w:i/>
          <w:color w:val="0000CC"/>
        </w:rPr>
        <w:t>Результати навчання:</w:t>
      </w:r>
    </w:p>
    <w:p w:rsidR="007726F6" w:rsidRPr="007726F6" w:rsidRDefault="007726F6" w:rsidP="007726F6">
      <w:pPr>
        <w:spacing w:before="240" w:after="240"/>
        <w:rPr>
          <w:b/>
          <w:i/>
          <w:color w:val="0000CC"/>
          <w:lang w:val="ru-RU"/>
        </w:rPr>
      </w:pPr>
      <w:r>
        <w:rPr>
          <w:b/>
          <w:i/>
          <w:color w:val="0000CC"/>
        </w:rPr>
        <w:t>Згідно з вимогами освітньо-професійної програми студенті повинні</w:t>
      </w:r>
      <w:r w:rsidRPr="007726F6">
        <w:rPr>
          <w:b/>
          <w:i/>
          <w:color w:val="0000CC"/>
        </w:rPr>
        <w:t>:</w:t>
      </w:r>
    </w:p>
    <w:p w:rsidR="00E10084" w:rsidRPr="007726F6" w:rsidRDefault="00C92FED" w:rsidP="007726F6">
      <w:pPr>
        <w:numPr>
          <w:ilvl w:val="0"/>
          <w:numId w:val="8"/>
        </w:numPr>
        <w:tabs>
          <w:tab w:val="clear" w:pos="720"/>
        </w:tabs>
        <w:spacing w:before="240"/>
        <w:ind w:left="284" w:hanging="295"/>
        <w:rPr>
          <w:color w:val="0000CC"/>
        </w:rPr>
      </w:pPr>
      <w:r w:rsidRPr="007726F6">
        <w:rPr>
          <w:b/>
          <w:i/>
          <w:color w:val="0000CC"/>
        </w:rPr>
        <w:t>знати:</w:t>
      </w:r>
    </w:p>
    <w:p w:rsidR="007945BF" w:rsidRPr="007726F6" w:rsidRDefault="005E4D83" w:rsidP="007726F6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726F6">
        <w:rPr>
          <w:rFonts w:ascii="Times New Roman" w:hAnsi="Times New Roman"/>
          <w:sz w:val="24"/>
          <w:szCs w:val="24"/>
        </w:rPr>
        <w:t>поняттєво-категоріальний апарат виборчого права</w:t>
      </w:r>
      <w:r w:rsidR="007945BF" w:rsidRPr="007726F6">
        <w:rPr>
          <w:rFonts w:ascii="Times New Roman" w:hAnsi="Times New Roman"/>
          <w:sz w:val="24"/>
          <w:szCs w:val="24"/>
        </w:rPr>
        <w:t>;</w:t>
      </w:r>
    </w:p>
    <w:p w:rsidR="007945BF" w:rsidRPr="007726F6" w:rsidRDefault="00452AC1" w:rsidP="007726F6">
      <w:pPr>
        <w:pStyle w:val="ab"/>
        <w:numPr>
          <w:ilvl w:val="0"/>
          <w:numId w:val="8"/>
        </w:numPr>
        <w:spacing w:line="240" w:lineRule="auto"/>
        <w:ind w:right="15"/>
        <w:rPr>
          <w:rFonts w:ascii="Times New Roman" w:hAnsi="Times New Roman"/>
          <w:sz w:val="24"/>
          <w:szCs w:val="24"/>
        </w:rPr>
      </w:pPr>
      <w:r w:rsidRPr="007726F6">
        <w:rPr>
          <w:rFonts w:ascii="Times New Roman" w:hAnsi="Times New Roman"/>
          <w:sz w:val="24"/>
          <w:szCs w:val="24"/>
        </w:rPr>
        <w:t>міжнародно-правові стандарти у галузі виборчого права</w:t>
      </w:r>
      <w:r w:rsidR="007945BF" w:rsidRPr="007726F6">
        <w:rPr>
          <w:rFonts w:ascii="Times New Roman" w:hAnsi="Times New Roman"/>
          <w:sz w:val="24"/>
          <w:szCs w:val="24"/>
        </w:rPr>
        <w:t>;</w:t>
      </w:r>
    </w:p>
    <w:p w:rsidR="007945BF" w:rsidRPr="007726F6" w:rsidRDefault="00452AC1" w:rsidP="007726F6">
      <w:pPr>
        <w:pStyle w:val="ab"/>
        <w:numPr>
          <w:ilvl w:val="0"/>
          <w:numId w:val="8"/>
        </w:numPr>
        <w:spacing w:line="240" w:lineRule="auto"/>
        <w:ind w:right="15"/>
        <w:rPr>
          <w:rFonts w:ascii="Times New Roman" w:hAnsi="Times New Roman"/>
          <w:sz w:val="24"/>
          <w:szCs w:val="24"/>
        </w:rPr>
      </w:pPr>
      <w:r w:rsidRPr="007726F6">
        <w:rPr>
          <w:rFonts w:ascii="Times New Roman" w:hAnsi="Times New Roman"/>
          <w:sz w:val="24"/>
          <w:szCs w:val="24"/>
        </w:rPr>
        <w:t>порядок організації та проведення місцевих виборів в Україні</w:t>
      </w:r>
      <w:r w:rsidR="007945BF" w:rsidRPr="007726F6">
        <w:rPr>
          <w:rFonts w:ascii="Times New Roman" w:hAnsi="Times New Roman"/>
          <w:sz w:val="24"/>
          <w:szCs w:val="24"/>
        </w:rPr>
        <w:t>.</w:t>
      </w:r>
    </w:p>
    <w:p w:rsidR="00E10084" w:rsidRPr="007726F6" w:rsidRDefault="00E10084" w:rsidP="007726F6">
      <w:pPr>
        <w:numPr>
          <w:ilvl w:val="0"/>
          <w:numId w:val="9"/>
        </w:numPr>
        <w:spacing w:before="240"/>
        <w:ind w:left="284" w:hanging="295"/>
        <w:rPr>
          <w:b/>
          <w:i/>
          <w:color w:val="0000CC"/>
        </w:rPr>
      </w:pPr>
      <w:r w:rsidRPr="007726F6">
        <w:rPr>
          <w:b/>
          <w:i/>
          <w:color w:val="0000CC"/>
        </w:rPr>
        <w:t>вміти:</w:t>
      </w:r>
    </w:p>
    <w:p w:rsidR="007945BF" w:rsidRPr="007726F6" w:rsidRDefault="007945BF" w:rsidP="007726F6">
      <w:pPr>
        <w:pStyle w:val="ab"/>
        <w:numPr>
          <w:ilvl w:val="0"/>
          <w:numId w:val="9"/>
        </w:numPr>
        <w:spacing w:line="240" w:lineRule="auto"/>
        <w:ind w:right="15"/>
        <w:rPr>
          <w:rFonts w:ascii="Times New Roman" w:hAnsi="Times New Roman"/>
          <w:sz w:val="24"/>
          <w:szCs w:val="24"/>
        </w:rPr>
      </w:pPr>
      <w:r w:rsidRPr="007726F6">
        <w:rPr>
          <w:rFonts w:ascii="Times New Roman" w:hAnsi="Times New Roman"/>
          <w:sz w:val="24"/>
          <w:szCs w:val="24"/>
        </w:rPr>
        <w:t xml:space="preserve">аналізувати </w:t>
      </w:r>
      <w:r w:rsidR="00452AC1" w:rsidRPr="007726F6">
        <w:rPr>
          <w:rFonts w:ascii="Times New Roman" w:hAnsi="Times New Roman"/>
          <w:sz w:val="24"/>
          <w:szCs w:val="24"/>
        </w:rPr>
        <w:t xml:space="preserve">виборче законодавство; </w:t>
      </w:r>
    </w:p>
    <w:p w:rsidR="007945BF" w:rsidRPr="007726F6" w:rsidRDefault="007945BF" w:rsidP="007726F6">
      <w:pPr>
        <w:pStyle w:val="ab"/>
        <w:numPr>
          <w:ilvl w:val="0"/>
          <w:numId w:val="9"/>
        </w:numPr>
        <w:spacing w:line="240" w:lineRule="auto"/>
        <w:ind w:right="15"/>
        <w:rPr>
          <w:rFonts w:ascii="Times New Roman" w:hAnsi="Times New Roman"/>
          <w:sz w:val="24"/>
          <w:szCs w:val="24"/>
        </w:rPr>
      </w:pPr>
      <w:r w:rsidRPr="007726F6">
        <w:rPr>
          <w:rFonts w:ascii="Times New Roman" w:hAnsi="Times New Roman"/>
          <w:sz w:val="24"/>
          <w:szCs w:val="24"/>
        </w:rPr>
        <w:t xml:space="preserve">виявляти та аналізувати проблеми у правовому регулюванні </w:t>
      </w:r>
      <w:r w:rsidR="00452AC1" w:rsidRPr="007726F6">
        <w:rPr>
          <w:rFonts w:ascii="Times New Roman" w:hAnsi="Times New Roman"/>
          <w:sz w:val="24"/>
          <w:szCs w:val="24"/>
        </w:rPr>
        <w:t>виборчого процесу та пропонувати шляхи їх вирішення</w:t>
      </w:r>
      <w:r w:rsidRPr="007726F6">
        <w:rPr>
          <w:rFonts w:ascii="Times New Roman" w:hAnsi="Times New Roman"/>
          <w:sz w:val="24"/>
          <w:szCs w:val="24"/>
        </w:rPr>
        <w:t>;</w:t>
      </w:r>
    </w:p>
    <w:p w:rsidR="007945BF" w:rsidRPr="007726F6" w:rsidRDefault="00452AC1" w:rsidP="007726F6">
      <w:pPr>
        <w:pStyle w:val="ab"/>
        <w:numPr>
          <w:ilvl w:val="0"/>
          <w:numId w:val="9"/>
        </w:numPr>
        <w:spacing w:line="240" w:lineRule="auto"/>
        <w:ind w:right="15"/>
        <w:rPr>
          <w:rFonts w:ascii="Times New Roman" w:hAnsi="Times New Roman"/>
          <w:sz w:val="24"/>
          <w:szCs w:val="24"/>
        </w:rPr>
      </w:pPr>
      <w:r w:rsidRPr="007726F6">
        <w:rPr>
          <w:rFonts w:ascii="Times New Roman" w:hAnsi="Times New Roman"/>
          <w:sz w:val="24"/>
          <w:szCs w:val="24"/>
        </w:rPr>
        <w:t>забезпечувати дотримання принципів виборчого права суб’єктами виборчого процесу</w:t>
      </w:r>
      <w:r w:rsidR="007945BF" w:rsidRPr="007726F6">
        <w:rPr>
          <w:rFonts w:ascii="Times New Roman" w:hAnsi="Times New Roman"/>
          <w:sz w:val="24"/>
          <w:szCs w:val="24"/>
        </w:rPr>
        <w:t>.</w:t>
      </w:r>
    </w:p>
    <w:p w:rsidR="00C92FED" w:rsidRPr="007726F6" w:rsidRDefault="00681026" w:rsidP="007726F6">
      <w:pPr>
        <w:spacing w:before="240" w:after="240"/>
        <w:rPr>
          <w:b/>
          <w:i/>
          <w:color w:val="0000CC"/>
        </w:rPr>
      </w:pPr>
      <w:r w:rsidRPr="007726F6">
        <w:rPr>
          <w:b/>
          <w:i/>
          <w:color w:val="0000CC"/>
        </w:rPr>
        <w:t xml:space="preserve">Анотація </w:t>
      </w:r>
      <w:r w:rsidR="00C92FED" w:rsidRPr="007726F6">
        <w:rPr>
          <w:b/>
          <w:i/>
          <w:color w:val="0000CC"/>
        </w:rPr>
        <w:t>навчально</w:t>
      </w:r>
      <w:r w:rsidRPr="007726F6">
        <w:rPr>
          <w:b/>
          <w:i/>
          <w:color w:val="0000CC"/>
        </w:rPr>
        <w:t>ї дисципліни :</w:t>
      </w:r>
    </w:p>
    <w:p w:rsidR="005E4D83" w:rsidRPr="007726F6" w:rsidRDefault="005E4D83" w:rsidP="007726F6">
      <w:pPr>
        <w:ind w:left="-107" w:firstLine="142"/>
        <w:jc w:val="both"/>
      </w:pPr>
      <w:r w:rsidRPr="007726F6">
        <w:t>Навчальна дисципліна «Підготовка та проведення місцевих виборів в Україні» покликана сформувати у студентів знання про виборчий процес у місцевих виборах в Україні.</w:t>
      </w:r>
    </w:p>
    <w:p w:rsidR="005E4D83" w:rsidRPr="007726F6" w:rsidRDefault="005E4D83" w:rsidP="007726F6">
      <w:pPr>
        <w:ind w:left="-107"/>
        <w:jc w:val="both"/>
      </w:pPr>
      <w:r w:rsidRPr="007726F6">
        <w:t>Основними завданнями вивчення навчальної дисципліни є:</w:t>
      </w:r>
    </w:p>
    <w:p w:rsidR="005E4D83" w:rsidRPr="007726F6" w:rsidRDefault="005E4D83" w:rsidP="007726F6">
      <w:pPr>
        <w:ind w:left="-107"/>
        <w:jc w:val="both"/>
      </w:pPr>
      <w:r w:rsidRPr="007726F6">
        <w:t>- характеристика процесу становлення та розвитку інституту місцевих виборів;</w:t>
      </w:r>
    </w:p>
    <w:p w:rsidR="005E4D83" w:rsidRPr="007726F6" w:rsidRDefault="005E4D83" w:rsidP="007726F6">
      <w:pPr>
        <w:ind w:left="-107"/>
        <w:jc w:val="both"/>
      </w:pPr>
      <w:r w:rsidRPr="007726F6">
        <w:t>- дослідження процесу модернізації проведення місцевих виборів;</w:t>
      </w:r>
    </w:p>
    <w:p w:rsidR="005E4D83" w:rsidRPr="007726F6" w:rsidRDefault="005E4D83" w:rsidP="007726F6">
      <w:pPr>
        <w:ind w:left="-107"/>
        <w:jc w:val="both"/>
      </w:pPr>
      <w:r w:rsidRPr="007726F6">
        <w:t>- з’ясування механізму реалізації у місцевих виборах принципів виборчого права України;</w:t>
      </w:r>
    </w:p>
    <w:p w:rsidR="005E4D83" w:rsidRPr="007726F6" w:rsidRDefault="005E4D83" w:rsidP="007726F6">
      <w:pPr>
        <w:ind w:left="-107"/>
        <w:jc w:val="both"/>
      </w:pPr>
      <w:r w:rsidRPr="007726F6">
        <w:t>- характеристика зарубіжного досвіду організації та проведення місцевих виборів;</w:t>
      </w:r>
    </w:p>
    <w:p w:rsidR="005E4D83" w:rsidRPr="007726F6" w:rsidRDefault="005E4D83" w:rsidP="007726F6">
      <w:pPr>
        <w:ind w:left="-107"/>
        <w:jc w:val="both"/>
      </w:pPr>
      <w:r w:rsidRPr="007726F6">
        <w:t>- оцінка можливості використання зарубіжного досвіду в українських реаліях.</w:t>
      </w:r>
    </w:p>
    <w:p w:rsidR="001C6067" w:rsidRPr="007726F6" w:rsidRDefault="001C6067" w:rsidP="007726F6">
      <w:pPr>
        <w:spacing w:before="240" w:after="240"/>
        <w:rPr>
          <w:b/>
          <w:i/>
          <w:color w:val="0000CC"/>
        </w:rPr>
      </w:pPr>
      <w:r w:rsidRPr="007726F6">
        <w:rPr>
          <w:b/>
          <w:i/>
          <w:color w:val="0000CC"/>
        </w:rPr>
        <w:t>Рекомендована література: </w:t>
      </w:r>
    </w:p>
    <w:p w:rsidR="005E4D83" w:rsidRPr="007726F6" w:rsidRDefault="005E4D83" w:rsidP="007726F6">
      <w:pPr>
        <w:ind w:left="-107"/>
        <w:rPr>
          <w:rFonts w:eastAsia="Calibri"/>
          <w:b/>
          <w:i/>
          <w:color w:val="0000CC"/>
          <w:lang w:eastAsia="en-US"/>
        </w:rPr>
      </w:pPr>
      <w:r w:rsidRPr="007726F6">
        <w:rPr>
          <w:rFonts w:eastAsia="BaskervilleBT-Italic"/>
          <w:iCs/>
          <w:lang w:eastAsia="en-US"/>
        </w:rPr>
        <w:t xml:space="preserve">1. </w:t>
      </w:r>
      <w:r w:rsidRPr="007726F6">
        <w:rPr>
          <w:rFonts w:eastAsia="BaskervilleBT-Roman"/>
          <w:lang w:eastAsia="en-US"/>
        </w:rPr>
        <w:t>Конституція України // ВВР України. – 1996. – № 30. – Ст. 141.</w:t>
      </w:r>
    </w:p>
    <w:p w:rsidR="005E4D83" w:rsidRPr="007726F6" w:rsidRDefault="005E4D83" w:rsidP="007726F6">
      <w:pPr>
        <w:autoSpaceDE w:val="0"/>
        <w:autoSpaceDN w:val="0"/>
        <w:adjustRightInd w:val="0"/>
        <w:ind w:left="-107"/>
        <w:contextualSpacing/>
        <w:jc w:val="both"/>
        <w:rPr>
          <w:rFonts w:eastAsia="BaskervilleBT-Roman"/>
          <w:lang w:eastAsia="en-US"/>
        </w:rPr>
      </w:pPr>
      <w:r w:rsidRPr="007726F6">
        <w:rPr>
          <w:rFonts w:eastAsia="BaskervilleBT-Italic"/>
          <w:iCs/>
          <w:lang w:eastAsia="en-US"/>
        </w:rPr>
        <w:t xml:space="preserve">2. Антонович М. М. </w:t>
      </w:r>
      <w:r w:rsidRPr="007726F6">
        <w:rPr>
          <w:rFonts w:eastAsia="BaskervilleBT-Roman"/>
          <w:lang w:eastAsia="en-US"/>
        </w:rPr>
        <w:t>Виборче право в Україні та проблеми його відповідності міжнародним стандартам / М. М. Антонович // Наукові записки НаУКМА. – 2004. – Т. 31 : Політичні науки. – С. 42–47.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BaskervilleBT-Roman"/>
          <w:lang w:eastAsia="en-US"/>
        </w:rPr>
      </w:pPr>
      <w:r w:rsidRPr="007726F6">
        <w:rPr>
          <w:rFonts w:eastAsia="BaskervilleBT-Italic"/>
          <w:iCs/>
          <w:lang w:eastAsia="en-US"/>
        </w:rPr>
        <w:t xml:space="preserve">3. Астахова Т. В. </w:t>
      </w:r>
      <w:r w:rsidRPr="007726F6">
        <w:rPr>
          <w:rFonts w:eastAsia="BaskervilleBT-Roman"/>
          <w:lang w:eastAsia="en-US"/>
        </w:rPr>
        <w:t>Принципи виборчого права України: конституційно-правова теорія та практика / Т. В. Астахова // Актуальні проблеми держави і права. – 2012. – Вип. 65. – С. 31–39.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BaskervilleBT-Roman"/>
          <w:lang w:eastAsia="en-US"/>
        </w:rPr>
      </w:pPr>
      <w:r w:rsidRPr="007726F6">
        <w:rPr>
          <w:rFonts w:eastAsia="BaskervilleBT-Roman"/>
          <w:lang w:eastAsia="en-US"/>
        </w:rPr>
        <w:t xml:space="preserve">4. </w:t>
      </w:r>
      <w:r w:rsidRPr="007726F6">
        <w:rPr>
          <w:rFonts w:eastAsia="BaskervilleBT-Italic"/>
          <w:iCs/>
          <w:lang w:eastAsia="en-US"/>
        </w:rPr>
        <w:t xml:space="preserve">Афанасьєва М. В. </w:t>
      </w:r>
      <w:r w:rsidRPr="007726F6">
        <w:rPr>
          <w:rFonts w:eastAsia="BaskervilleBT-Roman"/>
          <w:lang w:eastAsia="en-US"/>
        </w:rPr>
        <w:t>Виборча інженерія в Україні: монографія /М. В. Афанасьєва. – Одеса : Юридична література, 2014. – 384 с.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BaskervilleBT-Roman"/>
          <w:lang w:eastAsia="en-US"/>
        </w:rPr>
      </w:pPr>
      <w:r w:rsidRPr="007726F6">
        <w:rPr>
          <w:rFonts w:eastAsia="BaskervilleBT-Roman"/>
          <w:lang w:eastAsia="en-US"/>
        </w:rPr>
        <w:t xml:space="preserve">5. </w:t>
      </w:r>
      <w:r w:rsidRPr="007726F6">
        <w:rPr>
          <w:rFonts w:eastAsia="BaskervilleBT-Italic"/>
          <w:iCs/>
          <w:lang w:eastAsia="en-US"/>
        </w:rPr>
        <w:t>Баймуратов М. О</w:t>
      </w:r>
      <w:r w:rsidRPr="007726F6">
        <w:rPr>
          <w:rFonts w:eastAsia="BaskervilleBT-Roman"/>
          <w:lang w:eastAsia="en-US"/>
        </w:rPr>
        <w:t>. Міжнародні зв’язки і стандарти в системі місцевого самоврядування України // Муніципальне право України : підручник / М. О. Баймуратов ; за ред. В. Ф. Погорілка,О. Ф. Фрицького. – К. : Юрінком Інтер, 2006. – 592 c.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BaskervilleBT-Roman"/>
          <w:lang w:eastAsia="en-US"/>
        </w:rPr>
      </w:pPr>
      <w:r w:rsidRPr="007726F6">
        <w:rPr>
          <w:rFonts w:eastAsia="BaskervilleBT-Roman"/>
          <w:lang w:eastAsia="en-US"/>
        </w:rPr>
        <w:lastRenderedPageBreak/>
        <w:t xml:space="preserve">6. </w:t>
      </w:r>
      <w:r w:rsidRPr="007726F6">
        <w:rPr>
          <w:rFonts w:eastAsia="BaskervilleBT-Italic"/>
          <w:iCs/>
          <w:lang w:eastAsia="en-US"/>
        </w:rPr>
        <w:t xml:space="preserve">Ворона П. В. </w:t>
      </w:r>
      <w:r w:rsidRPr="007726F6">
        <w:rPr>
          <w:rFonts w:eastAsia="BaskervilleBT-Roman"/>
          <w:lang w:eastAsia="en-US"/>
        </w:rPr>
        <w:t>Регіональні та республіканські аспекти функціонування виборчої системи Франції / П. В. Ворона // Актуальні проблеми державного управління. – 2010. – № 2. – С. 254–261.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BaskervilleBT-Roman"/>
          <w:lang w:eastAsia="en-US"/>
        </w:rPr>
      </w:pPr>
      <w:r w:rsidRPr="007726F6">
        <w:rPr>
          <w:rFonts w:eastAsia="BaskervilleBT-Roman"/>
          <w:lang w:eastAsia="en-US"/>
        </w:rPr>
        <w:t xml:space="preserve">7. </w:t>
      </w:r>
      <w:r w:rsidRPr="007726F6">
        <w:rPr>
          <w:rFonts w:eastAsia="BaskervilleBT-Italic"/>
          <w:iCs/>
          <w:lang w:eastAsia="en-US"/>
        </w:rPr>
        <w:t xml:space="preserve">Галус О. О. </w:t>
      </w:r>
      <w:r w:rsidRPr="007726F6">
        <w:rPr>
          <w:rFonts w:eastAsia="BaskervilleBT-Roman"/>
          <w:lang w:eastAsia="en-US"/>
        </w:rPr>
        <w:t>Становлення і розвиток інституту виборів в Україні / О. О. Галус // Університетські наукові записки. – 2013. – № 4 (48). – С. 36–41.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BaskervilleBT-Roman"/>
          <w:lang w:eastAsia="en-US"/>
        </w:rPr>
      </w:pPr>
      <w:r w:rsidRPr="007726F6">
        <w:rPr>
          <w:rFonts w:eastAsia="BaskervilleBT-Roman"/>
          <w:lang w:eastAsia="en-US"/>
        </w:rPr>
        <w:t xml:space="preserve">8. </w:t>
      </w:r>
      <w:r w:rsidRPr="007726F6">
        <w:rPr>
          <w:rFonts w:eastAsia="BaskervilleBT-Italic"/>
          <w:iCs/>
          <w:lang w:eastAsia="en-US"/>
        </w:rPr>
        <w:t xml:space="preserve">Кельзен Г. </w:t>
      </w:r>
      <w:r w:rsidRPr="007726F6">
        <w:rPr>
          <w:rFonts w:eastAsia="BaskervilleBT-Roman"/>
          <w:lang w:eastAsia="en-US"/>
        </w:rPr>
        <w:t>Про сутність і цінність демократії / Ганс Кельзен; пер.з нім. Олександр Мокровольський. – Львів : ВТНЛ–Класика, 2013. – 139 с.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BaskervilleBT-Roman"/>
          <w:lang w:eastAsia="en-US"/>
        </w:rPr>
      </w:pPr>
      <w:r w:rsidRPr="007726F6">
        <w:rPr>
          <w:rFonts w:eastAsia="BaskervilleBT-Roman"/>
          <w:lang w:eastAsia="en-US"/>
        </w:rPr>
        <w:t xml:space="preserve">9. </w:t>
      </w:r>
      <w:r w:rsidRPr="007726F6">
        <w:rPr>
          <w:rFonts w:eastAsia="BaskervilleBT-Italic"/>
          <w:iCs/>
          <w:lang w:eastAsia="en-US"/>
        </w:rPr>
        <w:t xml:space="preserve">Коваленко Р. </w:t>
      </w:r>
      <w:r w:rsidRPr="007726F6">
        <w:rPr>
          <w:rFonts w:eastAsia="BaskervilleBT-Roman"/>
          <w:lang w:eastAsia="en-US"/>
        </w:rPr>
        <w:t>Передвиборча агітація: правова природа та сутність / Р. Коваленко // Юридичний вісник : щоквартальний журнал. – 2014. – № 2. – С. 34–38.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BaskervilleBT-Roman"/>
          <w:lang w:eastAsia="en-US"/>
        </w:rPr>
      </w:pPr>
      <w:r w:rsidRPr="007726F6">
        <w:rPr>
          <w:rFonts w:eastAsia="BaskervilleBT-Roman"/>
          <w:lang w:eastAsia="en-US"/>
        </w:rPr>
        <w:t xml:space="preserve">10. </w:t>
      </w:r>
      <w:r w:rsidRPr="007726F6">
        <w:rPr>
          <w:rFonts w:eastAsia="BaskervilleBT-Italic"/>
          <w:iCs/>
          <w:lang w:eastAsia="en-US"/>
        </w:rPr>
        <w:t xml:space="preserve">Кофман Б. Я. </w:t>
      </w:r>
      <w:r w:rsidRPr="007726F6">
        <w:rPr>
          <w:rFonts w:eastAsia="BaskervilleBT-Roman"/>
          <w:lang w:eastAsia="en-US"/>
        </w:rPr>
        <w:t>Міжнародні виборчі стандарти та їх імплементація в законодавство України : автореф. дис.на здобуття наукового ступеня канд. юрид. наук : спец. 12.00.02 / Б. Я. Кофман – Маріуполь : Б.в., 2012. – 22 с.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Calibri"/>
          <w:lang w:eastAsia="en-US"/>
        </w:rPr>
      </w:pPr>
      <w:r w:rsidRPr="007726F6">
        <w:rPr>
          <w:rFonts w:eastAsia="BaskervilleBT-Roman"/>
          <w:lang w:eastAsia="en-US"/>
        </w:rPr>
        <w:t xml:space="preserve">11. </w:t>
      </w:r>
      <w:r w:rsidRPr="007726F6">
        <w:rPr>
          <w:rFonts w:eastAsia="Calibri"/>
          <w:lang w:eastAsia="en-US"/>
        </w:rPr>
        <w:t>Панкевич І. М. Принцип таємності голосування як гарантія вільних виборів: міжнародні стандарти та український досвід / І. М. Панкевич // Вісник Львів. ун-ту. Серія міжнародні відносини. – Вип. 31. – Львів. – 2012. – С. 198–207.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Calibri"/>
          <w:lang w:eastAsia="en-US"/>
        </w:rPr>
      </w:pPr>
      <w:r w:rsidRPr="007726F6">
        <w:rPr>
          <w:rFonts w:eastAsia="Calibri"/>
          <w:lang w:eastAsia="en-US"/>
        </w:rPr>
        <w:t xml:space="preserve">12. Панкевич І. М. Реалізація активного виборчого права в Україні: сучасний стан та шляхи вдосконалення / І. М. Панкевич // Публічне право. – 2014. – № 3. – </w:t>
      </w:r>
      <w:r w:rsidRPr="007726F6">
        <w:rPr>
          <w:rFonts w:eastAsia="Calibri"/>
          <w:lang w:val="en-US" w:eastAsia="en-US"/>
        </w:rPr>
        <w:t>C</w:t>
      </w:r>
      <w:r w:rsidRPr="007726F6">
        <w:rPr>
          <w:rFonts w:eastAsia="Calibri"/>
          <w:lang w:eastAsia="en-US"/>
        </w:rPr>
        <w:t>. 15–22.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BaskervilleBT-Roman"/>
        </w:rPr>
      </w:pPr>
      <w:r w:rsidRPr="007726F6">
        <w:rPr>
          <w:rFonts w:eastAsia="Calibri"/>
          <w:lang w:eastAsia="en-US"/>
        </w:rPr>
        <w:t xml:space="preserve">13. Панкевич І. М. </w:t>
      </w:r>
      <w:r w:rsidRPr="007726F6">
        <w:rPr>
          <w:rFonts w:eastAsia="BaskervilleBT-Roman"/>
        </w:rPr>
        <w:t>Традиція виборності влади в Україні: монографія / І. М. Панкевич. – Львів : ЛНУ імені Івана Франка, 2015. – 488 с.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Calibri"/>
          <w:lang w:eastAsia="en-US"/>
        </w:rPr>
      </w:pPr>
      <w:r w:rsidRPr="007726F6">
        <w:rPr>
          <w:rFonts w:eastAsia="Calibri"/>
          <w:lang w:eastAsia="en-US"/>
        </w:rPr>
        <w:t>14. Про добровільне об’єднання територіальних громад: Закон України № </w:t>
      </w:r>
      <w:r w:rsidRPr="007726F6">
        <w:rPr>
          <w:rFonts w:eastAsia="Calibri"/>
          <w:bCs/>
          <w:lang w:eastAsia="en-US"/>
        </w:rPr>
        <w:t xml:space="preserve">157-VIII від 05.02.2015 р. // </w:t>
      </w:r>
      <w:r w:rsidRPr="007726F6">
        <w:rPr>
          <w:rFonts w:eastAsia="Calibri"/>
          <w:lang w:eastAsia="en-US"/>
        </w:rPr>
        <w:t>ВВР України. – 2015. – № 13. – Ст.91.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Calibri"/>
          <w:lang w:eastAsia="en-US"/>
        </w:rPr>
      </w:pPr>
      <w:r w:rsidRPr="007726F6">
        <w:rPr>
          <w:rFonts w:eastAsia="Calibri"/>
          <w:lang w:eastAsia="en-US"/>
        </w:rPr>
        <w:t>15. Про місцеві вибори : Закон України № 595</w:t>
      </w:r>
      <w:r w:rsidRPr="007726F6">
        <w:rPr>
          <w:rFonts w:eastAsia="Calibri"/>
          <w:bCs/>
          <w:lang w:eastAsia="en-US"/>
        </w:rPr>
        <w:t xml:space="preserve">-VIII від 14.07.2015 р. // </w:t>
      </w:r>
      <w:r w:rsidRPr="007726F6">
        <w:rPr>
          <w:rFonts w:eastAsia="Calibri"/>
          <w:lang w:eastAsia="en-US"/>
        </w:rPr>
        <w:t>ВВР України. – 2015. – № 37</w:t>
      </w:r>
      <w:r w:rsidRPr="007726F6">
        <w:rPr>
          <w:rFonts w:eastAsia="BaskervilleBT-Roman"/>
          <w:lang w:eastAsia="en-US"/>
        </w:rPr>
        <w:t>–</w:t>
      </w:r>
      <w:r w:rsidRPr="007726F6">
        <w:rPr>
          <w:rFonts w:eastAsia="Calibri"/>
          <w:lang w:eastAsia="en-US"/>
        </w:rPr>
        <w:t>38. – Ст.366.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BaskervilleBT-Roman"/>
          <w:lang w:eastAsia="en-US"/>
        </w:rPr>
      </w:pPr>
      <w:r w:rsidRPr="007726F6">
        <w:rPr>
          <w:rFonts w:eastAsia="Calibri"/>
          <w:lang w:eastAsia="en-US"/>
        </w:rPr>
        <w:t xml:space="preserve">16. </w:t>
      </w:r>
      <w:r w:rsidRPr="007726F6">
        <w:rPr>
          <w:rFonts w:eastAsia="BaskervilleBT-Roman"/>
          <w:lang w:eastAsia="en-US"/>
        </w:rPr>
        <w:t>Про статус депутатів місцевих рад : Закон України № 93-IV від 11.07.2002 р. // ВВР України. – № 40. – Ст. 290.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BaskervilleBT-Roman"/>
          <w:lang w:eastAsia="en-US"/>
        </w:rPr>
      </w:pPr>
      <w:r w:rsidRPr="007726F6">
        <w:rPr>
          <w:rFonts w:eastAsia="BaskervilleBT-Roman"/>
          <w:lang w:eastAsia="en-US"/>
        </w:rPr>
        <w:t xml:space="preserve">17. </w:t>
      </w:r>
      <w:r w:rsidRPr="007726F6">
        <w:rPr>
          <w:rFonts w:eastAsia="BaskervilleBT-Italic"/>
          <w:iCs/>
          <w:lang w:eastAsia="en-US"/>
        </w:rPr>
        <w:t xml:space="preserve">Прудка Л. М. </w:t>
      </w:r>
      <w:r w:rsidRPr="007726F6">
        <w:rPr>
          <w:rFonts w:eastAsia="BaskervilleBT-Roman"/>
          <w:lang w:eastAsia="en-US"/>
        </w:rPr>
        <w:t>Електоральний абсентеїзм в Україні як загроза демократії / Л. М. Прудка // Південноукраїнський правничий часопис. –№ 2. – 2014. – С. 179–181.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BaskervilleBT-Roman"/>
          <w:lang w:eastAsia="en-US"/>
        </w:rPr>
      </w:pPr>
      <w:r w:rsidRPr="007726F6">
        <w:rPr>
          <w:rFonts w:eastAsia="BaskervilleBT-Roman"/>
          <w:lang w:eastAsia="en-US"/>
        </w:rPr>
        <w:t xml:space="preserve">18. </w:t>
      </w:r>
      <w:r w:rsidRPr="007726F6">
        <w:rPr>
          <w:rFonts w:eastAsia="BaskervilleBT-Italic"/>
          <w:iCs/>
          <w:lang w:eastAsia="en-US"/>
        </w:rPr>
        <w:t xml:space="preserve">Райковський Б. </w:t>
      </w:r>
      <w:r w:rsidRPr="007726F6">
        <w:rPr>
          <w:rFonts w:eastAsia="BaskervilleBT-Roman"/>
          <w:lang w:eastAsia="en-US"/>
        </w:rPr>
        <w:t>Політологічний аналіз виборчого процесу / Б. Райковський // Політичний менеджмент. – № 2. – 2007. – С. 68–76.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BaskervilleBT-Roman"/>
          <w:lang w:eastAsia="en-US"/>
        </w:rPr>
      </w:pPr>
      <w:r w:rsidRPr="007726F6">
        <w:rPr>
          <w:rFonts w:eastAsia="BaskervilleBT-Roman"/>
          <w:lang w:eastAsia="en-US"/>
        </w:rPr>
        <w:t>19. Скрипнюк О. В. Верховенство права і демократія: концептуальні питання взаємозв’язку // Вісник Академії правових наук України. 2008. – № 2 (53). – С. 13–23.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BaskervilleBT-Roman"/>
          <w:lang w:eastAsia="en-US"/>
        </w:rPr>
      </w:pPr>
      <w:r w:rsidRPr="007726F6">
        <w:rPr>
          <w:rFonts w:eastAsia="BaskervilleBT-Roman"/>
          <w:lang w:eastAsia="en-US"/>
        </w:rPr>
        <w:t xml:space="preserve">20. </w:t>
      </w:r>
      <w:r w:rsidRPr="007726F6">
        <w:rPr>
          <w:rFonts w:eastAsia="BaskervilleBT-Italic"/>
          <w:iCs/>
          <w:lang w:eastAsia="en-US"/>
        </w:rPr>
        <w:t xml:space="preserve">Стешенко Т. В. </w:t>
      </w:r>
      <w:r w:rsidRPr="007726F6">
        <w:rPr>
          <w:rFonts w:eastAsia="BaskervilleBT-Roman"/>
          <w:lang w:eastAsia="en-US"/>
        </w:rPr>
        <w:t>Правове регулювання статусу офіційних спостерігачів від громадських та міжнародних організацій за європейськими стандартами / Т. В. Стешенко // Проблеми законності. – Х. : Нац. юрид. акад. України імені Ярослава Мудрого. – 2010. –  Вип. 108. – С. 46–52.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BaskervilleBT-Roman"/>
          <w:lang w:eastAsia="en-US"/>
        </w:rPr>
      </w:pPr>
      <w:r w:rsidRPr="007726F6">
        <w:rPr>
          <w:rFonts w:eastAsia="BaskervilleBT-Roman"/>
          <w:lang w:eastAsia="en-US"/>
        </w:rPr>
        <w:t xml:space="preserve">21. </w:t>
      </w:r>
      <w:r w:rsidRPr="007726F6">
        <w:rPr>
          <w:rFonts w:eastAsia="BaskervilleBT-Italic"/>
          <w:iCs/>
          <w:lang w:eastAsia="en-US"/>
        </w:rPr>
        <w:t xml:space="preserve">Топалова С. О. </w:t>
      </w:r>
      <w:r w:rsidRPr="007726F6">
        <w:rPr>
          <w:rFonts w:eastAsia="BaskervilleBT-Roman"/>
          <w:lang w:eastAsia="en-US"/>
        </w:rPr>
        <w:t>Симуляція як головна характеристика виборчого процесу в сучасній Україні / С. О. Топалова // Вісник Нац. юрид. академії імені Ярослава Мудрого. – № 2(12). – 2012. – С. 218–226.</w:t>
      </w:r>
    </w:p>
    <w:p w:rsidR="005E4D83" w:rsidRPr="007726F6" w:rsidRDefault="005E4D83" w:rsidP="007726F6">
      <w:pPr>
        <w:tabs>
          <w:tab w:val="left" w:pos="1134"/>
        </w:tabs>
        <w:autoSpaceDE w:val="0"/>
        <w:autoSpaceDN w:val="0"/>
        <w:adjustRightInd w:val="0"/>
        <w:ind w:left="-107"/>
        <w:contextualSpacing/>
        <w:jc w:val="both"/>
        <w:rPr>
          <w:rFonts w:eastAsia="BaskervilleBT-Roman"/>
          <w:lang w:eastAsia="en-US"/>
        </w:rPr>
      </w:pPr>
      <w:r w:rsidRPr="007726F6">
        <w:rPr>
          <w:rFonts w:eastAsia="BaskervilleBT-Roman"/>
          <w:lang w:eastAsia="en-US"/>
        </w:rPr>
        <w:t xml:space="preserve">22. </w:t>
      </w:r>
      <w:r w:rsidRPr="007726F6">
        <w:rPr>
          <w:rFonts w:eastAsia="BaskervilleBT-Italic"/>
          <w:iCs/>
          <w:lang w:eastAsia="en-US"/>
        </w:rPr>
        <w:t xml:space="preserve">Уварова О. О. </w:t>
      </w:r>
      <w:r w:rsidRPr="007726F6">
        <w:rPr>
          <w:rFonts w:eastAsia="BaskervilleBT-Roman"/>
          <w:lang w:eastAsia="en-US"/>
        </w:rPr>
        <w:t>Принципи права у правозастосуванні: загальнотеоретична характеристика : монографія / О. О. Уварова. – Х.: «Друкарня МАДРИД», 2012. – 196 с.</w:t>
      </w:r>
    </w:p>
    <w:p w:rsidR="00A05A88" w:rsidRPr="007726F6" w:rsidRDefault="005E4D83" w:rsidP="007726F6">
      <w:pPr>
        <w:pStyle w:val="ab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7726F6">
        <w:rPr>
          <w:rFonts w:ascii="Times New Roman" w:eastAsia="BaskervilleBT-Roman" w:hAnsi="Times New Roman"/>
          <w:sz w:val="24"/>
          <w:szCs w:val="24"/>
        </w:rPr>
        <w:t xml:space="preserve">23. </w:t>
      </w:r>
      <w:r w:rsidRPr="007726F6">
        <w:rPr>
          <w:rFonts w:ascii="Times New Roman" w:eastAsia="BaskervilleBT-Italic" w:hAnsi="Times New Roman"/>
          <w:iCs/>
          <w:sz w:val="24"/>
          <w:szCs w:val="24"/>
        </w:rPr>
        <w:t xml:space="preserve">Яворський В. </w:t>
      </w:r>
      <w:r w:rsidRPr="007726F6">
        <w:rPr>
          <w:rFonts w:ascii="Times New Roman" w:eastAsia="BaskervilleBT-Roman" w:hAnsi="Times New Roman"/>
          <w:sz w:val="24"/>
          <w:szCs w:val="24"/>
        </w:rPr>
        <w:t>Принципи сучасного виборчого права України / В. Яворський // Вісник Академії правових наук України. Зб. наук. праць ; редкол. : Тацій В. Я. та ін. – Х. : Право, 2002. – № 3(30). – С. 40–49.</w:t>
      </w:r>
    </w:p>
    <w:p w:rsidR="00194B1B" w:rsidRPr="007726F6" w:rsidRDefault="00C92FED" w:rsidP="007726F6">
      <w:pPr>
        <w:spacing w:before="240" w:after="240"/>
        <w:rPr>
          <w:vertAlign w:val="superscript"/>
        </w:rPr>
      </w:pPr>
      <w:r w:rsidRPr="007726F6">
        <w:rPr>
          <w:b/>
          <w:i/>
          <w:color w:val="0000CC"/>
        </w:rPr>
        <w:t>Форми та</w:t>
      </w:r>
      <w:r w:rsidR="00460FFE" w:rsidRPr="007726F6">
        <w:rPr>
          <w:b/>
          <w:i/>
          <w:color w:val="0000CC"/>
        </w:rPr>
        <w:t xml:space="preserve"> </w:t>
      </w:r>
      <w:r w:rsidRPr="007726F6">
        <w:rPr>
          <w:b/>
          <w:i/>
          <w:color w:val="0000CC"/>
        </w:rPr>
        <w:t xml:space="preserve"> методи навчання</w:t>
      </w:r>
      <w:r w:rsidRPr="007726F6">
        <w:rPr>
          <w:color w:val="0000CC"/>
        </w:rPr>
        <w:t>:</w:t>
      </w:r>
      <w:r w:rsidR="00194B1B" w:rsidRPr="007726F6">
        <w:t xml:space="preserve"> лекції, практичні заняття, консультації, самостійна робота</w:t>
      </w:r>
      <w:r w:rsidRPr="007726F6">
        <w:t> </w:t>
      </w:r>
      <w:r w:rsidR="001D4E2F" w:rsidRPr="007726F6">
        <w:t xml:space="preserve"> </w:t>
      </w:r>
    </w:p>
    <w:p w:rsidR="003B073B" w:rsidRPr="007726F6" w:rsidRDefault="003B073B" w:rsidP="007726F6">
      <w:pPr>
        <w:spacing w:before="240" w:after="240"/>
      </w:pPr>
      <w:r w:rsidRPr="007726F6">
        <w:rPr>
          <w:b/>
          <w:i/>
          <w:color w:val="0000CC"/>
        </w:rPr>
        <w:t>Форма  звітності</w:t>
      </w:r>
      <w:r w:rsidRPr="007726F6">
        <w:rPr>
          <w:b/>
          <w:i/>
        </w:rPr>
        <w:t>:</w:t>
      </w:r>
      <w:r w:rsidR="00194B1B" w:rsidRPr="007726F6">
        <w:rPr>
          <w:b/>
          <w:i/>
        </w:rPr>
        <w:t xml:space="preserve"> </w:t>
      </w:r>
      <w:r w:rsidR="00194B1B" w:rsidRPr="007726F6">
        <w:t>залік</w:t>
      </w:r>
    </w:p>
    <w:p w:rsidR="00C92FED" w:rsidRPr="007726F6" w:rsidRDefault="00C92FED" w:rsidP="007726F6">
      <w:pPr>
        <w:spacing w:before="240" w:after="240"/>
        <w:rPr>
          <w:u w:val="single"/>
        </w:rPr>
      </w:pPr>
      <w:r w:rsidRPr="007726F6">
        <w:rPr>
          <w:b/>
          <w:i/>
          <w:color w:val="0000CC"/>
        </w:rPr>
        <w:t>Мова навчання:</w:t>
      </w:r>
      <w:r w:rsidR="003B073B" w:rsidRPr="007726F6">
        <w:t xml:space="preserve"> </w:t>
      </w:r>
      <w:r w:rsidRPr="007726F6">
        <w:t>українська</w:t>
      </w:r>
    </w:p>
    <w:p w:rsidR="00CE61AF" w:rsidRPr="007726F6" w:rsidRDefault="00CE61AF" w:rsidP="007726F6">
      <w:r w:rsidRPr="007726F6">
        <w:t xml:space="preserve">Розглянуто  на  засіданні кафедри </w:t>
      </w:r>
      <w:r w:rsidR="00020A31" w:rsidRPr="007726F6">
        <w:t>«</w:t>
      </w:r>
      <w:r w:rsidR="001009A1" w:rsidRPr="007726F6">
        <w:t>___</w:t>
      </w:r>
      <w:r w:rsidR="00020A31" w:rsidRPr="007726F6">
        <w:t>»</w:t>
      </w:r>
      <w:r w:rsidR="001009A1" w:rsidRPr="007726F6">
        <w:t xml:space="preserve"> __________</w:t>
      </w:r>
      <w:r w:rsidR="00020A31" w:rsidRPr="007726F6">
        <w:t xml:space="preserve">  201</w:t>
      </w:r>
      <w:r w:rsidR="00F341E8" w:rsidRPr="007726F6">
        <w:t>6</w:t>
      </w:r>
      <w:r w:rsidR="00020A31" w:rsidRPr="007726F6">
        <w:t xml:space="preserve"> р.      Протокол №</w:t>
      </w:r>
      <w:r w:rsidR="001009A1" w:rsidRPr="007726F6">
        <w:t xml:space="preserve"> _____</w:t>
      </w:r>
      <w:r w:rsidR="00020A31" w:rsidRPr="007726F6">
        <w:t xml:space="preserve"> </w:t>
      </w:r>
    </w:p>
    <w:p w:rsidR="008346D6" w:rsidRPr="007726F6" w:rsidRDefault="008346D6" w:rsidP="007726F6"/>
    <w:p w:rsidR="001009A1" w:rsidRPr="007726F6" w:rsidRDefault="001009A1" w:rsidP="007726F6">
      <w:pPr>
        <w:ind w:firstLine="708"/>
      </w:pPr>
    </w:p>
    <w:p w:rsidR="00CE61AF" w:rsidRPr="007726F6" w:rsidRDefault="00CE61AF" w:rsidP="007726F6">
      <w:pPr>
        <w:ind w:firstLine="708"/>
      </w:pPr>
      <w:r w:rsidRPr="007726F6">
        <w:t xml:space="preserve">Завідувач кафедри            ________________________            _____________________ </w:t>
      </w:r>
    </w:p>
    <w:p w:rsidR="00CE61AF" w:rsidRPr="007726F6" w:rsidRDefault="00CE61AF" w:rsidP="007726F6">
      <w:pPr>
        <w:ind w:firstLine="708"/>
        <w:rPr>
          <w:vertAlign w:val="superscript"/>
        </w:rPr>
      </w:pPr>
      <w:r w:rsidRPr="007726F6">
        <w:rPr>
          <w:vertAlign w:val="superscript"/>
        </w:rPr>
        <w:t xml:space="preserve">                                                                                              (підпис)</w:t>
      </w:r>
    </w:p>
    <w:sectPr w:rsidR="00CE61AF" w:rsidRPr="007726F6" w:rsidSect="003A2C45">
      <w:footerReference w:type="default" r:id="rId7"/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C29" w:rsidRDefault="00E27C29" w:rsidP="008346D6">
      <w:r>
        <w:separator/>
      </w:r>
    </w:p>
  </w:endnote>
  <w:endnote w:type="continuationSeparator" w:id="1">
    <w:p w:rsidR="00E27C29" w:rsidRDefault="00E27C29" w:rsidP="00834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kervilleBT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BT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ED" w:rsidRPr="008346D6" w:rsidRDefault="00DA32ED" w:rsidP="008346D6">
    <w:pPr>
      <w:pStyle w:val="a9"/>
      <w:jc w:val="right"/>
      <w:rPr>
        <w:rFonts w:ascii="Arial Narrow" w:hAnsi="Arial Narrow"/>
      </w:rPr>
    </w:pPr>
    <w:r w:rsidRPr="008346D6">
      <w:rPr>
        <w:rFonts w:ascii="Arial Narrow" w:hAnsi="Arial Narrow"/>
      </w:rPr>
      <w:fldChar w:fldCharType="begin"/>
    </w:r>
    <w:r w:rsidRPr="008346D6">
      <w:rPr>
        <w:rFonts w:ascii="Arial Narrow" w:hAnsi="Arial Narrow"/>
      </w:rPr>
      <w:instrText>PAGE   \* MERGEFORMAT</w:instrText>
    </w:r>
    <w:r w:rsidRPr="008346D6">
      <w:rPr>
        <w:rFonts w:ascii="Arial Narrow" w:hAnsi="Arial Narrow"/>
      </w:rPr>
      <w:fldChar w:fldCharType="separate"/>
    </w:r>
    <w:r w:rsidR="007726F6">
      <w:rPr>
        <w:rFonts w:ascii="Arial Narrow" w:hAnsi="Arial Narrow"/>
        <w:noProof/>
      </w:rPr>
      <w:t>1</w:t>
    </w:r>
    <w:r w:rsidRPr="008346D6"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C29" w:rsidRDefault="00E27C29" w:rsidP="008346D6">
      <w:r>
        <w:separator/>
      </w:r>
    </w:p>
  </w:footnote>
  <w:footnote w:type="continuationSeparator" w:id="1">
    <w:p w:rsidR="00E27C29" w:rsidRDefault="00E27C29" w:rsidP="00834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4ED"/>
    <w:multiLevelType w:val="hybridMultilevel"/>
    <w:tmpl w:val="DEECA4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258"/>
    <w:multiLevelType w:val="multilevel"/>
    <w:tmpl w:val="FBB6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07CC3"/>
    <w:multiLevelType w:val="hybridMultilevel"/>
    <w:tmpl w:val="14742716"/>
    <w:lvl w:ilvl="0" w:tplc="B3B82BFA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F5E87"/>
    <w:multiLevelType w:val="hybridMultilevel"/>
    <w:tmpl w:val="38EAD8B8"/>
    <w:lvl w:ilvl="0" w:tplc="B3B82BFA">
      <w:start w:val="1"/>
      <w:numFmt w:val="bullet"/>
      <w:lvlText w:val="~"/>
      <w:lvlJc w:val="left"/>
      <w:pPr>
        <w:ind w:left="1429" w:hanging="360"/>
      </w:pPr>
      <w:rPr>
        <w:rFonts w:ascii="Arial Narrow" w:hAnsi="Arial Narro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605A59"/>
    <w:multiLevelType w:val="hybridMultilevel"/>
    <w:tmpl w:val="024C5634"/>
    <w:lvl w:ilvl="0" w:tplc="82765472">
      <w:numFmt w:val="bullet"/>
      <w:lvlText w:val="-"/>
      <w:lvlJc w:val="left"/>
      <w:pPr>
        <w:ind w:left="899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0D2D2CD7"/>
    <w:multiLevelType w:val="hybridMultilevel"/>
    <w:tmpl w:val="E5DE314C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76E6D"/>
    <w:multiLevelType w:val="hybridMultilevel"/>
    <w:tmpl w:val="4A74AB0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3F795E"/>
    <w:multiLevelType w:val="multilevel"/>
    <w:tmpl w:val="B0A2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03E8A"/>
    <w:multiLevelType w:val="multilevel"/>
    <w:tmpl w:val="CD7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C1A62"/>
    <w:multiLevelType w:val="hybridMultilevel"/>
    <w:tmpl w:val="90F8F910"/>
    <w:lvl w:ilvl="0" w:tplc="EAD48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730A2"/>
    <w:multiLevelType w:val="hybridMultilevel"/>
    <w:tmpl w:val="F5D8F952"/>
    <w:lvl w:ilvl="0" w:tplc="B3B82BFA">
      <w:start w:val="1"/>
      <w:numFmt w:val="bullet"/>
      <w:lvlText w:val="~"/>
      <w:lvlJc w:val="left"/>
      <w:pPr>
        <w:ind w:left="108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7755EA"/>
    <w:multiLevelType w:val="hybridMultilevel"/>
    <w:tmpl w:val="6DE67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E1041"/>
    <w:multiLevelType w:val="hybridMultilevel"/>
    <w:tmpl w:val="8D5EC69C"/>
    <w:lvl w:ilvl="0" w:tplc="B3B82BFA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F5BD3"/>
    <w:multiLevelType w:val="hybridMultilevel"/>
    <w:tmpl w:val="10CA9766"/>
    <w:lvl w:ilvl="0" w:tplc="E4C2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65631"/>
    <w:multiLevelType w:val="hybridMultilevel"/>
    <w:tmpl w:val="5DC02752"/>
    <w:lvl w:ilvl="0" w:tplc="85F8E4E2"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>
    <w:nsid w:val="41534C04"/>
    <w:multiLevelType w:val="multilevel"/>
    <w:tmpl w:val="E5DE31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00E03"/>
    <w:multiLevelType w:val="multilevel"/>
    <w:tmpl w:val="77D6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F0B76"/>
    <w:multiLevelType w:val="hybridMultilevel"/>
    <w:tmpl w:val="3BE87F26"/>
    <w:lvl w:ilvl="0" w:tplc="2A986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61FF6"/>
    <w:multiLevelType w:val="hybridMultilevel"/>
    <w:tmpl w:val="0FF0A69E"/>
    <w:lvl w:ilvl="0" w:tplc="7DACCC9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FF7CBBDA">
      <w:numFmt w:val="bullet"/>
      <w:lvlText w:val=""/>
      <w:lvlJc w:val="left"/>
      <w:pPr>
        <w:ind w:left="1714" w:hanging="1005"/>
      </w:pPr>
      <w:rPr>
        <w:rFonts w:ascii="Symbol" w:eastAsia="BaskervilleBT-Roman" w:hAnsi="Symbol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56F54"/>
    <w:multiLevelType w:val="hybridMultilevel"/>
    <w:tmpl w:val="A37A0F7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E5BA8"/>
    <w:multiLevelType w:val="hybridMultilevel"/>
    <w:tmpl w:val="A0684AAE"/>
    <w:lvl w:ilvl="0" w:tplc="2F7615E6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2">
    <w:nsid w:val="64BE2462"/>
    <w:multiLevelType w:val="hybridMultilevel"/>
    <w:tmpl w:val="14F8DDA8"/>
    <w:lvl w:ilvl="0" w:tplc="B3B82BFA">
      <w:start w:val="1"/>
      <w:numFmt w:val="bullet"/>
      <w:lvlText w:val="~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892ADF"/>
    <w:multiLevelType w:val="hybridMultilevel"/>
    <w:tmpl w:val="90F8F910"/>
    <w:lvl w:ilvl="0" w:tplc="EAD48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7"/>
  </w:num>
  <w:num w:numId="5">
    <w:abstractNumId w:val="8"/>
  </w:num>
  <w:num w:numId="6">
    <w:abstractNumId w:val="5"/>
  </w:num>
  <w:num w:numId="7">
    <w:abstractNumId w:val="16"/>
  </w:num>
  <w:num w:numId="8">
    <w:abstractNumId w:val="24"/>
  </w:num>
  <w:num w:numId="9">
    <w:abstractNumId w:val="7"/>
  </w:num>
  <w:num w:numId="10">
    <w:abstractNumId w:val="21"/>
  </w:num>
  <w:num w:numId="11">
    <w:abstractNumId w:val="14"/>
  </w:num>
  <w:num w:numId="12">
    <w:abstractNumId w:val="18"/>
  </w:num>
  <w:num w:numId="13">
    <w:abstractNumId w:val="12"/>
  </w:num>
  <w:num w:numId="14">
    <w:abstractNumId w:val="13"/>
  </w:num>
  <w:num w:numId="15">
    <w:abstractNumId w:val="2"/>
  </w:num>
  <w:num w:numId="16">
    <w:abstractNumId w:val="11"/>
  </w:num>
  <w:num w:numId="17">
    <w:abstractNumId w:val="22"/>
  </w:num>
  <w:num w:numId="18">
    <w:abstractNumId w:val="3"/>
  </w:num>
  <w:num w:numId="19">
    <w:abstractNumId w:val="10"/>
  </w:num>
  <w:num w:numId="20">
    <w:abstractNumId w:val="23"/>
  </w:num>
  <w:num w:numId="21">
    <w:abstractNumId w:val="4"/>
  </w:num>
  <w:num w:numId="22">
    <w:abstractNumId w:val="19"/>
  </w:num>
  <w:num w:numId="23">
    <w:abstractNumId w:val="15"/>
  </w:num>
  <w:num w:numId="24">
    <w:abstractNumId w:val="0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FED"/>
    <w:rsid w:val="00020A31"/>
    <w:rsid w:val="0005444C"/>
    <w:rsid w:val="000A5B35"/>
    <w:rsid w:val="000B4F85"/>
    <w:rsid w:val="000B77BF"/>
    <w:rsid w:val="000E7120"/>
    <w:rsid w:val="000F5FBF"/>
    <w:rsid w:val="001009A1"/>
    <w:rsid w:val="00106245"/>
    <w:rsid w:val="00142D7D"/>
    <w:rsid w:val="00162FAF"/>
    <w:rsid w:val="001630D1"/>
    <w:rsid w:val="0018343A"/>
    <w:rsid w:val="00194B1B"/>
    <w:rsid w:val="001B5CCF"/>
    <w:rsid w:val="001C2A0F"/>
    <w:rsid w:val="001C6067"/>
    <w:rsid w:val="001D4E2F"/>
    <w:rsid w:val="001E02B2"/>
    <w:rsid w:val="001F27F4"/>
    <w:rsid w:val="00223FA0"/>
    <w:rsid w:val="00227AAD"/>
    <w:rsid w:val="00261711"/>
    <w:rsid w:val="002A24C8"/>
    <w:rsid w:val="002D766F"/>
    <w:rsid w:val="002E52C7"/>
    <w:rsid w:val="00324D9D"/>
    <w:rsid w:val="00350F2A"/>
    <w:rsid w:val="0035311F"/>
    <w:rsid w:val="003A2C45"/>
    <w:rsid w:val="003B073B"/>
    <w:rsid w:val="003C23C3"/>
    <w:rsid w:val="003F11C4"/>
    <w:rsid w:val="0042585F"/>
    <w:rsid w:val="0043371D"/>
    <w:rsid w:val="0043614E"/>
    <w:rsid w:val="00452AC1"/>
    <w:rsid w:val="00460FFE"/>
    <w:rsid w:val="00485AB5"/>
    <w:rsid w:val="004A6157"/>
    <w:rsid w:val="004D4A33"/>
    <w:rsid w:val="00500DD3"/>
    <w:rsid w:val="00505032"/>
    <w:rsid w:val="00544CC0"/>
    <w:rsid w:val="005B66D9"/>
    <w:rsid w:val="005B78AD"/>
    <w:rsid w:val="005D1D3A"/>
    <w:rsid w:val="005E44E6"/>
    <w:rsid w:val="005E4D83"/>
    <w:rsid w:val="005F065A"/>
    <w:rsid w:val="00623768"/>
    <w:rsid w:val="00635409"/>
    <w:rsid w:val="006703E2"/>
    <w:rsid w:val="00681026"/>
    <w:rsid w:val="006A0878"/>
    <w:rsid w:val="006F5372"/>
    <w:rsid w:val="007251E6"/>
    <w:rsid w:val="007726F6"/>
    <w:rsid w:val="00781FFD"/>
    <w:rsid w:val="007945BF"/>
    <w:rsid w:val="00821559"/>
    <w:rsid w:val="008346D6"/>
    <w:rsid w:val="008E0A73"/>
    <w:rsid w:val="009061B8"/>
    <w:rsid w:val="00924E0F"/>
    <w:rsid w:val="009E792A"/>
    <w:rsid w:val="009F2ECF"/>
    <w:rsid w:val="00A05A88"/>
    <w:rsid w:val="00A135B4"/>
    <w:rsid w:val="00AA2992"/>
    <w:rsid w:val="00AB0973"/>
    <w:rsid w:val="00AD4731"/>
    <w:rsid w:val="00B6007C"/>
    <w:rsid w:val="00B677E0"/>
    <w:rsid w:val="00BC2EF9"/>
    <w:rsid w:val="00C46DAD"/>
    <w:rsid w:val="00C505CE"/>
    <w:rsid w:val="00C87A66"/>
    <w:rsid w:val="00C92FED"/>
    <w:rsid w:val="00C96C2C"/>
    <w:rsid w:val="00CE61AF"/>
    <w:rsid w:val="00CF1265"/>
    <w:rsid w:val="00D00D70"/>
    <w:rsid w:val="00D07641"/>
    <w:rsid w:val="00D702F6"/>
    <w:rsid w:val="00D73CE7"/>
    <w:rsid w:val="00D80226"/>
    <w:rsid w:val="00DA32ED"/>
    <w:rsid w:val="00DB4035"/>
    <w:rsid w:val="00DC2D34"/>
    <w:rsid w:val="00E10084"/>
    <w:rsid w:val="00E15E70"/>
    <w:rsid w:val="00E205AC"/>
    <w:rsid w:val="00E27C29"/>
    <w:rsid w:val="00E5333C"/>
    <w:rsid w:val="00EB7D9E"/>
    <w:rsid w:val="00EC12EA"/>
    <w:rsid w:val="00ED2F72"/>
    <w:rsid w:val="00EE2CE1"/>
    <w:rsid w:val="00F12674"/>
    <w:rsid w:val="00F1524A"/>
    <w:rsid w:val="00F22D6C"/>
    <w:rsid w:val="00F24B4D"/>
    <w:rsid w:val="00F26629"/>
    <w:rsid w:val="00F341E8"/>
    <w:rsid w:val="00F4651D"/>
    <w:rsid w:val="00F70C4E"/>
    <w:rsid w:val="00F807D8"/>
    <w:rsid w:val="00F903E0"/>
    <w:rsid w:val="00FC2AAB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C92F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E7120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0F5FB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2AAB"/>
    <w:pPr>
      <w:spacing w:line="360" w:lineRule="auto"/>
      <w:ind w:right="-1134"/>
      <w:jc w:val="center"/>
    </w:pPr>
    <w:rPr>
      <w:b/>
      <w:sz w:val="28"/>
      <w:szCs w:val="20"/>
      <w:lang/>
    </w:rPr>
  </w:style>
  <w:style w:type="character" w:customStyle="1" w:styleId="a6">
    <w:name w:val="Основний текст Знак"/>
    <w:link w:val="a5"/>
    <w:rsid w:val="00FC2AAB"/>
    <w:rPr>
      <w:b/>
      <w:sz w:val="28"/>
      <w:lang/>
    </w:rPr>
  </w:style>
  <w:style w:type="character" w:customStyle="1" w:styleId="10">
    <w:name w:val="Заголовок 1 Знак"/>
    <w:link w:val="1"/>
    <w:rsid w:val="001B5CCF"/>
    <w:rPr>
      <w:b/>
      <w:bCs/>
      <w:kern w:val="36"/>
      <w:sz w:val="48"/>
      <w:szCs w:val="48"/>
    </w:rPr>
  </w:style>
  <w:style w:type="paragraph" w:customStyle="1" w:styleId="Iniiaiieoaenonionooiii2">
    <w:name w:val="Iniiaiie oaeno n ionooiii 2"/>
    <w:basedOn w:val="a"/>
    <w:rsid w:val="00F341E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6"/>
      <w:lang w:eastAsia="ru-RU"/>
    </w:rPr>
  </w:style>
  <w:style w:type="paragraph" w:styleId="a7">
    <w:name w:val="header"/>
    <w:basedOn w:val="a"/>
    <w:link w:val="a8"/>
    <w:rsid w:val="008346D6"/>
    <w:pPr>
      <w:tabs>
        <w:tab w:val="center" w:pos="4819"/>
        <w:tab w:val="right" w:pos="9639"/>
      </w:tabs>
    </w:pPr>
    <w:rPr>
      <w:lang/>
    </w:rPr>
  </w:style>
  <w:style w:type="character" w:customStyle="1" w:styleId="a8">
    <w:name w:val="Верхній колонтитул Знак"/>
    <w:link w:val="a7"/>
    <w:rsid w:val="008346D6"/>
    <w:rPr>
      <w:sz w:val="24"/>
      <w:szCs w:val="24"/>
    </w:rPr>
  </w:style>
  <w:style w:type="paragraph" w:styleId="a9">
    <w:name w:val="footer"/>
    <w:basedOn w:val="a"/>
    <w:link w:val="aa"/>
    <w:uiPriority w:val="99"/>
    <w:rsid w:val="008346D6"/>
    <w:pPr>
      <w:tabs>
        <w:tab w:val="center" w:pos="4819"/>
        <w:tab w:val="right" w:pos="9639"/>
      </w:tabs>
    </w:pPr>
    <w:rPr>
      <w:lang/>
    </w:rPr>
  </w:style>
  <w:style w:type="character" w:customStyle="1" w:styleId="aa">
    <w:name w:val="Нижній колонтитул Знак"/>
    <w:link w:val="a9"/>
    <w:uiPriority w:val="99"/>
    <w:rsid w:val="008346D6"/>
    <w:rPr>
      <w:sz w:val="24"/>
      <w:szCs w:val="24"/>
    </w:rPr>
  </w:style>
  <w:style w:type="paragraph" w:styleId="ab">
    <w:name w:val="List Paragraph"/>
    <w:basedOn w:val="a"/>
    <w:uiPriority w:val="34"/>
    <w:qFormat/>
    <w:rsid w:val="00623768"/>
    <w:pPr>
      <w:spacing w:line="360" w:lineRule="auto"/>
      <w:ind w:left="720" w:right="-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F12674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виноски Знак"/>
    <w:link w:val="ac"/>
    <w:uiPriority w:val="99"/>
    <w:rsid w:val="00F12674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0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9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15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1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07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3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8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25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1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3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68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7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1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8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7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6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68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5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2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1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36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6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59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0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8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2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67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1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00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5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4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53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72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Економіка інноваційного підприємства (фахове спрямування «Менеджмент інноваційної діяльності»)</vt:lpstr>
      <vt:lpstr>Економіка інноваційного підприємства (фахове спрямування «Менеджмент інноваційної діяльності»)</vt:lpstr>
    </vt:vector>
  </TitlesOfParts>
  <Company>ЛНУ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Економіка інноваційного підприємства (фахове спрямування «Менеджмент інноваційної діяльності»)</dc:title>
  <dc:subject/>
  <dc:creator>навч_част</dc:creator>
  <cp:keywords/>
  <cp:lastModifiedBy>Olena</cp:lastModifiedBy>
  <cp:revision>2</cp:revision>
  <cp:lastPrinted>2016-12-02T12:02:00Z</cp:lastPrinted>
  <dcterms:created xsi:type="dcterms:W3CDTF">2016-12-16T11:21:00Z</dcterms:created>
  <dcterms:modified xsi:type="dcterms:W3CDTF">2016-12-16T11:21:00Z</dcterms:modified>
</cp:coreProperties>
</file>