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CD" w:rsidRPr="000B6BCD" w:rsidRDefault="000B6BCD" w:rsidP="00B80E1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0B6BCD" w:rsidRDefault="000B6BCD" w:rsidP="00B80E1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BCD">
        <w:rPr>
          <w:rFonts w:ascii="Times New Roman" w:hAnsi="Times New Roman" w:cs="Times New Roman"/>
          <w:b/>
          <w:sz w:val="28"/>
          <w:szCs w:val="28"/>
          <w:lang w:val="uk-UA"/>
        </w:rPr>
        <w:t>питань на модуль зі спецкурсу «Міжнародний комерційний арбітраж»</w:t>
      </w:r>
    </w:p>
    <w:p w:rsidR="000B6BCD" w:rsidRDefault="000B6BCD" w:rsidP="00B80E1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магістрів денної форми навчання</w:t>
      </w:r>
    </w:p>
    <w:p w:rsidR="000B6BCD" w:rsidRPr="000B6BCD" w:rsidRDefault="000B6BCD" w:rsidP="000B6BCD">
      <w:pPr>
        <w:ind w:left="-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 w:rsidRPr="000B6BCD">
        <w:rPr>
          <w:sz w:val="28"/>
          <w:szCs w:val="28"/>
          <w:lang w:val="uk-UA"/>
        </w:rPr>
        <w:t>Міжнародний комерційний арбітраж як орган третейського судочинства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</w:rPr>
      </w:pPr>
      <w:r w:rsidRPr="000B6BCD">
        <w:rPr>
          <w:sz w:val="28"/>
          <w:szCs w:val="28"/>
          <w:lang w:val="uk-UA"/>
        </w:rPr>
        <w:t>Компетенція міжнародного</w:t>
      </w:r>
      <w:r w:rsidR="00B80E1B">
        <w:rPr>
          <w:sz w:val="28"/>
          <w:szCs w:val="28"/>
          <w:lang w:val="uk-UA"/>
        </w:rPr>
        <w:t xml:space="preserve"> комерційного</w:t>
      </w:r>
      <w:r w:rsidRPr="000B6BCD">
        <w:rPr>
          <w:sz w:val="28"/>
          <w:szCs w:val="28"/>
          <w:lang w:val="uk-UA"/>
        </w:rPr>
        <w:t xml:space="preserve"> арбітражу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ru-RU"/>
        </w:rPr>
      </w:pPr>
      <w:r w:rsidRPr="000B6BCD">
        <w:rPr>
          <w:sz w:val="28"/>
          <w:szCs w:val="28"/>
          <w:lang w:val="uk-UA"/>
        </w:rPr>
        <w:t>Структура міжнародного комерційного суду при Торгово-промисловій палаті України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Міжнародні джерела регулювання діяльності комерційних арбітражних судів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Національне законодавство</w:t>
      </w:r>
      <w:r w:rsidR="00B80E1B">
        <w:rPr>
          <w:sz w:val="28"/>
          <w:szCs w:val="28"/>
          <w:lang w:val="uk-UA"/>
        </w:rPr>
        <w:t xml:space="preserve"> як джерело правового регулювання діяльності міжнародного комерційного арбітражу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Регламент міжнародного комерційного арбітражу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</w:t>
      </w:r>
      <w:r w:rsidR="00B80E1B">
        <w:rPr>
          <w:sz w:val="28"/>
          <w:szCs w:val="28"/>
          <w:lang w:val="uk-UA"/>
        </w:rPr>
        <w:t>оняття та п</w:t>
      </w:r>
      <w:r w:rsidRPr="000B6BCD">
        <w:rPr>
          <w:sz w:val="28"/>
          <w:szCs w:val="28"/>
          <w:lang w:val="uk-UA"/>
        </w:rPr>
        <w:t>равова природа арбітражної угоди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Форма арбітражної угоди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Зміст арбітражної угоди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«Дефектні» арбітражні угоди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Перелік арбітрів і порядок їх вибору сторонами спору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Склад арбітрів для розгляду спору</w:t>
      </w:r>
      <w:r w:rsidR="00B80E1B" w:rsidRPr="00B80E1B">
        <w:rPr>
          <w:sz w:val="28"/>
          <w:szCs w:val="28"/>
          <w:lang w:val="uk-UA"/>
        </w:rPr>
        <w:t xml:space="preserve"> </w:t>
      </w:r>
      <w:r w:rsidR="00B80E1B"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B82144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sz w:val="28"/>
          <w:szCs w:val="28"/>
          <w:lang w:val="en-US"/>
        </w:rPr>
      </w:pPr>
      <w:r w:rsidRPr="000B6BCD">
        <w:rPr>
          <w:rFonts w:eastAsia="Calibri"/>
          <w:sz w:val="28"/>
          <w:szCs w:val="28"/>
          <w:lang w:val="uk-UA"/>
        </w:rPr>
        <w:t>Відвід арбітра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Визначення матеріального права, яке застосовується при розгляді спору</w:t>
      </w:r>
      <w:r w:rsidR="00B80E1B" w:rsidRPr="00B80E1B">
        <w:rPr>
          <w:sz w:val="28"/>
          <w:szCs w:val="28"/>
          <w:lang w:val="uk-UA"/>
        </w:rPr>
        <w:t xml:space="preserve"> </w:t>
      </w:r>
      <w:r w:rsidR="00B80E1B"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Місце і мова арбітражного розгляду</w:t>
      </w:r>
      <w:r w:rsidR="00B80E1B" w:rsidRPr="00B80E1B">
        <w:rPr>
          <w:rFonts w:eastAsia="Calibri"/>
          <w:sz w:val="28"/>
          <w:szCs w:val="28"/>
          <w:lang w:val="uk-UA"/>
        </w:rPr>
        <w:t xml:space="preserve"> </w:t>
      </w:r>
      <w:r w:rsidR="00B80E1B" w:rsidRPr="000B6BCD">
        <w:rPr>
          <w:rFonts w:eastAsia="Calibri"/>
          <w:sz w:val="28"/>
          <w:szCs w:val="28"/>
          <w:lang w:val="uk-UA"/>
        </w:rPr>
        <w:t>спору</w:t>
      </w:r>
      <w:r w:rsidR="00B80E1B" w:rsidRPr="00B80E1B">
        <w:rPr>
          <w:sz w:val="28"/>
          <w:szCs w:val="28"/>
          <w:lang w:val="uk-UA"/>
        </w:rPr>
        <w:t xml:space="preserve"> </w:t>
      </w:r>
      <w:r w:rsidR="00B80E1B"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Докази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rFonts w:eastAsia="Calibri"/>
          <w:sz w:val="28"/>
          <w:szCs w:val="28"/>
          <w:lang w:val="uk-UA"/>
        </w:rPr>
      </w:pPr>
      <w:r w:rsidRPr="000B6BCD">
        <w:rPr>
          <w:rFonts w:eastAsia="Calibri"/>
          <w:sz w:val="28"/>
          <w:szCs w:val="28"/>
          <w:lang w:val="uk-UA"/>
        </w:rPr>
        <w:t>Прийняття забезпечувальних заходів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Пред’явлення позову в міжнародному комерційному арбітражі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 Порядок розгляду спорів</w:t>
      </w:r>
      <w:r w:rsidR="00B80E1B" w:rsidRPr="00B80E1B">
        <w:rPr>
          <w:sz w:val="28"/>
          <w:szCs w:val="28"/>
          <w:lang w:val="uk-UA"/>
        </w:rPr>
        <w:t xml:space="preserve"> </w:t>
      </w:r>
      <w:r w:rsidR="00B80E1B"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Стадії розгляду спору міжнародним комерційним арбітражем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Рішення міжнародного комерційного арбітражу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Арбітражні збори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Збитки сторін, які пов’язані з підготовкою і розглядом спору</w:t>
      </w:r>
      <w:r w:rsidR="00B80E1B" w:rsidRPr="00B80E1B">
        <w:rPr>
          <w:sz w:val="28"/>
          <w:szCs w:val="28"/>
          <w:lang w:val="uk-UA"/>
        </w:rPr>
        <w:t xml:space="preserve"> </w:t>
      </w:r>
      <w:r w:rsidR="00B80E1B" w:rsidRPr="000B6BCD">
        <w:rPr>
          <w:sz w:val="28"/>
          <w:szCs w:val="28"/>
          <w:lang w:val="uk-UA"/>
        </w:rPr>
        <w:t>міжнародним комерційним арбітражем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spacing w:line="276" w:lineRule="auto"/>
        <w:ind w:left="-567" w:firstLine="0"/>
        <w:jc w:val="both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>Винагорода арбітрів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Міжнародно-правові джерела визнання і виконання рішень іноземних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Підстави для відмови у виконанні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Процедура оскарження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арбітражів</w:t>
      </w:r>
      <w:proofErr w:type="spellEnd"/>
      <w:r w:rsidRPr="000B6BCD">
        <w:rPr>
          <w:sz w:val="28"/>
          <w:szCs w:val="28"/>
          <w:lang w:val="uk-UA"/>
        </w:rPr>
        <w:t xml:space="preserve"> в Україні</w:t>
      </w:r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Органи, які виконують рішення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</w:p>
    <w:p w:rsidR="000B6BCD" w:rsidRPr="000B6BCD" w:rsidRDefault="000B6BCD" w:rsidP="000B6BCD">
      <w:pPr>
        <w:pStyle w:val="a3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-567" w:right="-143" w:firstLine="0"/>
        <w:jc w:val="both"/>
        <w:textAlignment w:val="auto"/>
        <w:rPr>
          <w:sz w:val="28"/>
          <w:szCs w:val="28"/>
          <w:lang w:val="uk-UA"/>
        </w:rPr>
      </w:pPr>
      <w:r w:rsidRPr="000B6BCD">
        <w:rPr>
          <w:sz w:val="28"/>
          <w:szCs w:val="28"/>
          <w:lang w:val="uk-UA"/>
        </w:rPr>
        <w:t xml:space="preserve">Порядок виконання рішень міжнародних комерційних </w:t>
      </w:r>
      <w:proofErr w:type="spellStart"/>
      <w:r w:rsidRPr="000B6BCD">
        <w:rPr>
          <w:sz w:val="28"/>
          <w:szCs w:val="28"/>
          <w:lang w:val="uk-UA"/>
        </w:rPr>
        <w:t>арбітражі</w:t>
      </w:r>
      <w:r>
        <w:rPr>
          <w:sz w:val="28"/>
          <w:szCs w:val="28"/>
          <w:lang w:val="uk-UA"/>
        </w:rPr>
        <w:t>в</w:t>
      </w:r>
      <w:proofErr w:type="spellEnd"/>
      <w:r w:rsidRPr="000B6BCD">
        <w:rPr>
          <w:sz w:val="28"/>
          <w:szCs w:val="28"/>
          <w:lang w:val="uk-UA"/>
        </w:rPr>
        <w:t xml:space="preserve"> в Україні</w:t>
      </w:r>
    </w:p>
    <w:sectPr w:rsidR="000B6BCD" w:rsidRPr="000B6BCD" w:rsidSect="000B6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451"/>
    <w:multiLevelType w:val="multilevel"/>
    <w:tmpl w:val="910E2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A47941"/>
    <w:multiLevelType w:val="hybridMultilevel"/>
    <w:tmpl w:val="0AD6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179B"/>
    <w:multiLevelType w:val="hybridMultilevel"/>
    <w:tmpl w:val="919EDDEC"/>
    <w:lvl w:ilvl="0" w:tplc="23083C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36CB5"/>
    <w:multiLevelType w:val="hybridMultilevel"/>
    <w:tmpl w:val="30162EB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7E530CF"/>
    <w:multiLevelType w:val="hybridMultilevel"/>
    <w:tmpl w:val="C38A2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21193"/>
    <w:multiLevelType w:val="hybridMultilevel"/>
    <w:tmpl w:val="653C0348"/>
    <w:lvl w:ilvl="0" w:tplc="D944A7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4EA2"/>
    <w:multiLevelType w:val="hybridMultilevel"/>
    <w:tmpl w:val="E372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57972"/>
    <w:multiLevelType w:val="hybridMultilevel"/>
    <w:tmpl w:val="B52C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6BCD"/>
    <w:rsid w:val="000B6BCD"/>
    <w:rsid w:val="00B80E1B"/>
    <w:rsid w:val="00B8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C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2016-05-10T18:59:00Z</dcterms:created>
  <dcterms:modified xsi:type="dcterms:W3CDTF">2016-05-10T18:59:00Z</dcterms:modified>
</cp:coreProperties>
</file>